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63F8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76D8482" w14:textId="77777777" w:rsidTr="00DE737D">
        <w:trPr>
          <w:trHeight w:val="538"/>
        </w:trPr>
        <w:tc>
          <w:tcPr>
            <w:tcW w:w="2438" w:type="dxa"/>
            <w:shd w:val="clear" w:color="auto" w:fill="auto"/>
          </w:tcPr>
          <w:p w14:paraId="6E33E46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7CD3B6C" w14:textId="77777777"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14:paraId="30446DA2" w14:textId="77777777" w:rsidTr="005F7F7E">
        <w:tc>
          <w:tcPr>
            <w:tcW w:w="2438" w:type="dxa"/>
            <w:shd w:val="clear" w:color="auto" w:fill="auto"/>
          </w:tcPr>
          <w:p w14:paraId="3F816D1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634384A4" w14:textId="256B6F8D" w:rsidR="00F445B1" w:rsidRPr="001356F1" w:rsidRDefault="003B7DA1" w:rsidP="00CE0EA4">
            <w:pPr>
              <w:rPr>
                <w:b/>
              </w:rPr>
            </w:pPr>
            <w:r>
              <w:rPr>
                <w:rStyle w:val="Firstpagetablebold"/>
              </w:rPr>
              <w:t>Date of the meeting</w:t>
            </w:r>
            <w:r w:rsidR="00A4348C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CE0EA4">
              <w:rPr>
                <w:rStyle w:val="Firstpagetablebold"/>
              </w:rPr>
              <w:t>29 November</w:t>
            </w:r>
            <w:r w:rsidR="00DE737D">
              <w:rPr>
                <w:rStyle w:val="Firstpagetablebold"/>
              </w:rPr>
              <w:t xml:space="preserve"> 2018</w:t>
            </w:r>
          </w:p>
        </w:tc>
      </w:tr>
      <w:tr w:rsidR="00CE544A" w:rsidRPr="00975B07" w14:paraId="1C66CBBE" w14:textId="77777777" w:rsidTr="005F7F7E">
        <w:tc>
          <w:tcPr>
            <w:tcW w:w="2438" w:type="dxa"/>
            <w:shd w:val="clear" w:color="auto" w:fill="auto"/>
          </w:tcPr>
          <w:p w14:paraId="4C2EA27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41B7511" w14:textId="77777777" w:rsidR="00F445B1" w:rsidRPr="001356F1" w:rsidRDefault="00A84422" w:rsidP="004A6D2F">
            <w:pPr>
              <w:rPr>
                <w:rStyle w:val="Firstpagetablebold"/>
              </w:rPr>
            </w:pPr>
            <w:bookmarkStart w:id="0" w:name="_GoBack"/>
            <w:r>
              <w:rPr>
                <w:rStyle w:val="Firstpagetablebold"/>
              </w:rPr>
              <w:t>Electoral Registration Officer</w:t>
            </w:r>
            <w:bookmarkEnd w:id="0"/>
          </w:p>
        </w:tc>
      </w:tr>
      <w:tr w:rsidR="00CE544A" w:rsidRPr="00975B07" w14:paraId="3074D4DF" w14:textId="77777777" w:rsidTr="005F7F7E">
        <w:tc>
          <w:tcPr>
            <w:tcW w:w="2438" w:type="dxa"/>
            <w:shd w:val="clear" w:color="auto" w:fill="auto"/>
          </w:tcPr>
          <w:p w14:paraId="2EA3053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3F0B52D0" w14:textId="77777777" w:rsidR="00F445B1" w:rsidRPr="001356F1" w:rsidRDefault="00A8442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City Ward Boundary Review 2018</w:t>
            </w:r>
          </w:p>
        </w:tc>
      </w:tr>
    </w:tbl>
    <w:p w14:paraId="0D174AA7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14:paraId="41259F6A" w14:textId="77777777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5197A1C3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3D2CC494" w14:textId="77777777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B617CB9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5FAAF88" w14:textId="39813A21" w:rsidR="00D5547E" w:rsidRPr="001356F1" w:rsidRDefault="00A84422" w:rsidP="00A051CC">
            <w:r>
              <w:t xml:space="preserve">To </w:t>
            </w:r>
            <w:r w:rsidR="00E25553">
              <w:t>brief the City Executive Board on the ward boundary review and ask it</w:t>
            </w:r>
            <w:r>
              <w:t xml:space="preserve"> to </w:t>
            </w:r>
            <w:r w:rsidR="00EF0222">
              <w:t>comment on the</w:t>
            </w:r>
            <w:r>
              <w:t xml:space="preserve"> </w:t>
            </w:r>
            <w:r w:rsidR="00CE0EA4">
              <w:t xml:space="preserve">amended </w:t>
            </w:r>
            <w:r w:rsidR="00EF0222">
              <w:t xml:space="preserve">draft ward scheme as published by the </w:t>
            </w:r>
            <w:r>
              <w:t>Local Government Boundary Commission for England</w:t>
            </w:r>
            <w:r w:rsidR="00CE0EA4">
              <w:t xml:space="preserve"> in </w:t>
            </w:r>
            <w:r w:rsidR="00A051CC">
              <w:t>November</w:t>
            </w:r>
            <w:r w:rsidR="00CE0EA4">
              <w:t xml:space="preserve"> 2018</w:t>
            </w:r>
            <w:r w:rsidR="009134D3">
              <w:t>.</w:t>
            </w:r>
          </w:p>
        </w:tc>
      </w:tr>
      <w:tr w:rsidR="00D5547E" w14:paraId="51A710AC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97E493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CCA371" w14:textId="77777777" w:rsidR="00D5547E" w:rsidRPr="001356F1" w:rsidRDefault="00D5547E" w:rsidP="00A84422">
            <w:r w:rsidRPr="001356F1">
              <w:t xml:space="preserve">Yes </w:t>
            </w:r>
          </w:p>
        </w:tc>
      </w:tr>
      <w:tr w:rsidR="00D5547E" w14:paraId="5052F25D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137829C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99A5245" w14:textId="1E70A7CA" w:rsidR="00D5547E" w:rsidRPr="001356F1" w:rsidRDefault="008D1741" w:rsidP="008D1741">
            <w:r>
              <w:t xml:space="preserve">Councillor Susan Brown, Leader of the Council </w:t>
            </w:r>
          </w:p>
        </w:tc>
      </w:tr>
      <w:tr w:rsidR="0080749A" w14:paraId="710DAB03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928B6B3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F5AD7F" w14:textId="77777777" w:rsidR="0080749A" w:rsidRPr="001356F1" w:rsidRDefault="00A84422" w:rsidP="005F7F7E">
            <w:r>
              <w:t>None</w:t>
            </w:r>
          </w:p>
        </w:tc>
      </w:tr>
      <w:tr w:rsidR="00D5547E" w14:paraId="5B17572A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466960A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E96D286" w14:textId="77777777" w:rsidR="00D5547E" w:rsidRPr="001356F1" w:rsidRDefault="00A84422" w:rsidP="005F7F7E">
            <w:r>
              <w:t>None</w:t>
            </w:r>
          </w:p>
        </w:tc>
      </w:tr>
      <w:tr w:rsidR="005F7F7E" w:rsidRPr="00975B07" w14:paraId="72844B94" w14:textId="77777777" w:rsidTr="00A4348C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14:paraId="5FFBBBC1" w14:textId="16748829" w:rsidR="005F7F7E" w:rsidRDefault="00132070" w:rsidP="00132070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s:</w:t>
            </w:r>
            <w:r>
              <w:rPr>
                <w:rStyle w:val="Firstpagetablebold"/>
              </w:rPr>
              <w:t xml:space="preserve"> </w:t>
            </w:r>
            <w:r w:rsidR="005F7F7E" w:rsidRPr="00132070">
              <w:rPr>
                <w:rStyle w:val="Firstpagetablebold"/>
                <w:b w:val="0"/>
              </w:rPr>
              <w:t>That the City Executive Board resolves to:</w:t>
            </w:r>
          </w:p>
          <w:p w14:paraId="2914DA37" w14:textId="5AB38246" w:rsidR="00132070" w:rsidRPr="00132070" w:rsidRDefault="00132070" w:rsidP="00132070">
            <w:r w:rsidRPr="00132070">
              <w:rPr>
                <w:b/>
              </w:rPr>
              <w:t>Propose</w:t>
            </w:r>
            <w:r w:rsidRPr="00132070">
              <w:t xml:space="preserve"> amendments to</w:t>
            </w:r>
            <w:r>
              <w:t xml:space="preserve"> and comments on </w:t>
            </w:r>
            <w:r w:rsidRPr="00132070">
              <w:t xml:space="preserve"> the new scheme of wards published by the Local Government Boundary Commission for England as follows:</w:t>
            </w:r>
          </w:p>
          <w:p w14:paraId="20043075" w14:textId="77777777" w:rsidR="00132070" w:rsidRPr="00132070" w:rsidRDefault="00132070" w:rsidP="00132070">
            <w:pPr>
              <w:numPr>
                <w:ilvl w:val="0"/>
                <w:numId w:val="37"/>
              </w:numPr>
              <w:tabs>
                <w:tab w:val="left" w:pos="1276"/>
              </w:tabs>
            </w:pPr>
            <w:r w:rsidRPr="00132070">
              <w:t>the Council prefers the scheme as originally proposed and published by the Commission on 5</w:t>
            </w:r>
            <w:r w:rsidRPr="00132070">
              <w:rPr>
                <w:vertAlign w:val="superscript"/>
              </w:rPr>
              <w:t>th</w:t>
            </w:r>
            <w:r w:rsidRPr="00132070">
              <w:t xml:space="preserve"> June;</w:t>
            </w:r>
          </w:p>
          <w:p w14:paraId="5BC3CABD" w14:textId="77777777" w:rsidR="00132070" w:rsidRPr="00132070" w:rsidRDefault="00132070" w:rsidP="00132070">
            <w:pPr>
              <w:numPr>
                <w:ilvl w:val="0"/>
                <w:numId w:val="37"/>
              </w:numPr>
              <w:tabs>
                <w:tab w:val="left" w:pos="1276"/>
              </w:tabs>
            </w:pPr>
            <w:r w:rsidRPr="00132070">
              <w:t>the Council does not support the current scheme;</w:t>
            </w:r>
          </w:p>
          <w:p w14:paraId="6A10489B" w14:textId="33998F3F" w:rsidR="00132070" w:rsidRDefault="00132070" w:rsidP="00132070">
            <w:pPr>
              <w:numPr>
                <w:ilvl w:val="0"/>
                <w:numId w:val="37"/>
              </w:numPr>
              <w:tabs>
                <w:tab w:val="left" w:pos="1276"/>
              </w:tabs>
            </w:pPr>
            <w:r w:rsidRPr="00132070">
              <w:t xml:space="preserve">that, if the original scheme is not re-adopted, then it proposes that the two new wards of St. Mary’s and St. </w:t>
            </w:r>
            <w:proofErr w:type="spellStart"/>
            <w:r w:rsidRPr="00132070">
              <w:t>Clement’s</w:t>
            </w:r>
            <w:proofErr w:type="spellEnd"/>
            <w:r w:rsidRPr="00132070">
              <w:t xml:space="preserve">  in the Commission’s current proposals be accepted with some minor amendments, with the boundaries for </w:t>
            </w:r>
            <w:proofErr w:type="spellStart"/>
            <w:r w:rsidRPr="00132070">
              <w:t>Cowley</w:t>
            </w:r>
            <w:proofErr w:type="spellEnd"/>
            <w:r w:rsidRPr="00132070">
              <w:t xml:space="preserve">, Temple </w:t>
            </w:r>
            <w:proofErr w:type="spellStart"/>
            <w:r w:rsidRPr="00132070">
              <w:t>Cowley</w:t>
            </w:r>
            <w:proofErr w:type="spellEnd"/>
            <w:r w:rsidRPr="00132070">
              <w:t xml:space="preserve">, Rose Hill &amp; </w:t>
            </w:r>
            <w:proofErr w:type="spellStart"/>
            <w:r w:rsidRPr="00132070">
              <w:t>Iffley</w:t>
            </w:r>
            <w:proofErr w:type="spellEnd"/>
            <w:r w:rsidRPr="00132070">
              <w:t xml:space="preserve"> and Littlemore from the original scheme, with a small adjustment in the boundary between </w:t>
            </w:r>
            <w:proofErr w:type="spellStart"/>
            <w:r w:rsidRPr="00132070">
              <w:t>Cowley</w:t>
            </w:r>
            <w:proofErr w:type="spellEnd"/>
            <w:r w:rsidRPr="00132070">
              <w:t xml:space="preserve"> and Temple </w:t>
            </w:r>
            <w:proofErr w:type="spellStart"/>
            <w:r w:rsidRPr="00132070">
              <w:t>Cowley</w:t>
            </w:r>
            <w:proofErr w:type="spellEnd"/>
            <w:r w:rsidRPr="00132070">
              <w:t xml:space="preserve"> wards to take account of concerns in the Florence Park area;</w:t>
            </w:r>
            <w:r>
              <w:t xml:space="preserve"> and</w:t>
            </w:r>
          </w:p>
          <w:p w14:paraId="2977C318" w14:textId="0DBE41FF" w:rsidR="00132070" w:rsidRPr="00975B07" w:rsidRDefault="00132070" w:rsidP="00132070">
            <w:pPr>
              <w:numPr>
                <w:ilvl w:val="0"/>
                <w:numId w:val="37"/>
              </w:numPr>
              <w:tabs>
                <w:tab w:val="left" w:pos="1276"/>
              </w:tabs>
            </w:pPr>
            <w:proofErr w:type="gramStart"/>
            <w:r w:rsidRPr="00132070">
              <w:t>a</w:t>
            </w:r>
            <w:proofErr w:type="gramEnd"/>
            <w:r w:rsidRPr="00132070">
              <w:t xml:space="preserve"> re-designed Donnington ward, running along the southern boundaries of the new St. Mary’s and St. </w:t>
            </w:r>
            <w:proofErr w:type="spellStart"/>
            <w:r w:rsidRPr="00132070">
              <w:t>Clement’s</w:t>
            </w:r>
            <w:proofErr w:type="spellEnd"/>
            <w:r w:rsidRPr="00132070">
              <w:t xml:space="preserve"> wards, from Weirs Lane in the west to </w:t>
            </w:r>
            <w:proofErr w:type="spellStart"/>
            <w:r w:rsidRPr="00132070">
              <w:t>Bartlemas</w:t>
            </w:r>
            <w:proofErr w:type="spellEnd"/>
            <w:r w:rsidRPr="00132070">
              <w:t xml:space="preserve"> Close in the east.</w:t>
            </w:r>
          </w:p>
        </w:tc>
      </w:tr>
    </w:tbl>
    <w:p w14:paraId="5A8A064C" w14:textId="45FDC45D" w:rsidR="00CE544A" w:rsidRDefault="00CE544A" w:rsidP="004A6D2F"/>
    <w:p w14:paraId="2375E028" w14:textId="77777777" w:rsidR="00FA6F9E" w:rsidRDefault="00FA6F9E" w:rsidP="004A6D2F"/>
    <w:p w14:paraId="789C3DA9" w14:textId="77777777" w:rsidR="00132070" w:rsidRDefault="00132070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039E82C1" w14:textId="77777777" w:rsidTr="003E57A4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07111" w14:textId="3B420FCA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lastRenderedPageBreak/>
              <w:t>Appendi</w:t>
            </w:r>
            <w:r w:rsidR="003E57A4">
              <w:rPr>
                <w:rStyle w:val="Firstpagetablebold"/>
              </w:rPr>
              <w:t>x</w:t>
            </w:r>
          </w:p>
        </w:tc>
      </w:tr>
      <w:tr w:rsidR="00ED5860" w:rsidRPr="00975B07" w14:paraId="514CCF26" w14:textId="77777777" w:rsidTr="00954266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30AD70A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E88BEE" w14:textId="43C2A6EA" w:rsidR="00ED5860" w:rsidRPr="001356F1" w:rsidRDefault="003E57A4" w:rsidP="003C4F83">
            <w:r>
              <w:t>Risk Register</w:t>
            </w:r>
          </w:p>
        </w:tc>
      </w:tr>
      <w:tr w:rsidR="00954266" w:rsidRPr="00975B07" w14:paraId="78D1F45E" w14:textId="77777777" w:rsidTr="00FA6F9E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35C653A" w14:textId="2998A778" w:rsidR="00954266" w:rsidRPr="00975B07" w:rsidRDefault="00954266" w:rsidP="004A6D2F">
            <w:r>
              <w:t>Appendix 2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A436AA" w14:textId="4B3C8BBF" w:rsidR="00954266" w:rsidRDefault="00954266" w:rsidP="003C4F83">
            <w:r>
              <w:t>Letter from the Local Government Boundary Commission for England</w:t>
            </w:r>
            <w:r w:rsidR="00323F55">
              <w:t xml:space="preserve"> dated</w:t>
            </w:r>
            <w:r w:rsidR="00FA6F9E">
              <w:t xml:space="preserve"> 6</w:t>
            </w:r>
            <w:r w:rsidR="00FA6F9E" w:rsidRPr="00FA6F9E">
              <w:rPr>
                <w:vertAlign w:val="superscript"/>
              </w:rPr>
              <w:t>th</w:t>
            </w:r>
            <w:r w:rsidR="00FA6F9E">
              <w:t xml:space="preserve"> November 2018.</w:t>
            </w:r>
          </w:p>
        </w:tc>
      </w:tr>
      <w:tr w:rsidR="00FA6F9E" w:rsidRPr="00975B07" w14:paraId="2F2650EE" w14:textId="77777777" w:rsidTr="003E57A4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CB395D3" w14:textId="6BFB8889" w:rsidR="00FA6F9E" w:rsidRDefault="00FA6F9E" w:rsidP="004A6D2F">
            <w:r>
              <w:t>Appendix 3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4087A734" w14:textId="4725B185" w:rsidR="00FA6F9E" w:rsidRDefault="00FA6F9E" w:rsidP="003C4F83">
            <w:r>
              <w:t>Spreadsheet showing the breakdown of the proposals, street-by-street</w:t>
            </w:r>
          </w:p>
        </w:tc>
      </w:tr>
    </w:tbl>
    <w:p w14:paraId="7DCF6F2C" w14:textId="77777777" w:rsidR="0040736F" w:rsidRPr="001356F1" w:rsidRDefault="00F66DCA" w:rsidP="004A6D2F">
      <w:pPr>
        <w:pStyle w:val="Heading1"/>
      </w:pPr>
      <w:r w:rsidRPr="001356F1">
        <w:t xml:space="preserve">Introduction </w:t>
      </w:r>
    </w:p>
    <w:p w14:paraId="0B349E70" w14:textId="2A85733A" w:rsidR="009B75AA" w:rsidRDefault="00AF0467" w:rsidP="00BD7680">
      <w:pPr>
        <w:pStyle w:val="ListParagraph"/>
      </w:pPr>
      <w:r>
        <w:t xml:space="preserve">At its meeting on </w:t>
      </w:r>
      <w:r w:rsidR="00CE0EA4">
        <w:t>14</w:t>
      </w:r>
      <w:r w:rsidR="00CE0EA4" w:rsidRPr="00CE0EA4">
        <w:rPr>
          <w:vertAlign w:val="superscript"/>
        </w:rPr>
        <w:t>th</w:t>
      </w:r>
      <w:r w:rsidR="00CE0EA4">
        <w:t xml:space="preserve"> August 2018</w:t>
      </w:r>
      <w:r>
        <w:t xml:space="preserve"> the </w:t>
      </w:r>
      <w:r w:rsidR="00345823">
        <w:t xml:space="preserve">City Executive </w:t>
      </w:r>
      <w:r>
        <w:t xml:space="preserve">Board agreed to recommend </w:t>
      </w:r>
      <w:r w:rsidR="00CE0EA4">
        <w:t>a series of amendments</w:t>
      </w:r>
      <w:r>
        <w:t xml:space="preserve"> to the</w:t>
      </w:r>
      <w:r w:rsidR="00CE0EA4">
        <w:t xml:space="preserve"> draft ward scheme as published by the</w:t>
      </w:r>
      <w:r>
        <w:t xml:space="preserve"> Local Government Boundary Commission</w:t>
      </w:r>
      <w:r w:rsidR="00A051CC">
        <w:t xml:space="preserve"> at</w:t>
      </w:r>
      <w:r w:rsidR="00CE0EA4">
        <w:t xml:space="preserve"> Stage Two of the review</w:t>
      </w:r>
      <w:r>
        <w:t xml:space="preserve">. </w:t>
      </w:r>
    </w:p>
    <w:p w14:paraId="6C3FC2B6" w14:textId="55B51CC9" w:rsidR="00CE0EA4" w:rsidRDefault="00CE0EA4" w:rsidP="00BD7680">
      <w:pPr>
        <w:pStyle w:val="ListParagraph"/>
      </w:pPr>
      <w:r>
        <w:t xml:space="preserve">The Commission has now taken the unusual step of re-publishing part of its draft scheme, following submissions made during </w:t>
      </w:r>
      <w:r w:rsidR="00A051CC">
        <w:t xml:space="preserve">the </w:t>
      </w:r>
      <w:r>
        <w:t>Stage Two</w:t>
      </w:r>
      <w:r w:rsidR="00A051CC">
        <w:t xml:space="preserve"> consultation period</w:t>
      </w:r>
      <w:r>
        <w:t>.</w:t>
      </w:r>
    </w:p>
    <w:p w14:paraId="0E3F972B" w14:textId="72C76F71" w:rsidR="00BD7680" w:rsidRDefault="00BD7680" w:rsidP="003E57A4">
      <w:pPr>
        <w:pStyle w:val="Heading1"/>
      </w:pPr>
      <w:r>
        <w:t>Stages of the review</w:t>
      </w:r>
    </w:p>
    <w:p w14:paraId="42E92EC5" w14:textId="48C8E698" w:rsidR="00C64BB6" w:rsidRDefault="00BD7680" w:rsidP="00C64BB6">
      <w:pPr>
        <w:pStyle w:val="ListParagraph"/>
      </w:pPr>
      <w:r>
        <w:t>The review is carried out</w:t>
      </w:r>
      <w:r w:rsidR="00C64BB6" w:rsidRPr="00C64BB6">
        <w:t xml:space="preserve"> </w:t>
      </w:r>
      <w:r w:rsidR="00C64BB6">
        <w:t>under the Local Democracy, Economic Development and Construction Act 20</w:t>
      </w:r>
      <w:r w:rsidR="003336FC">
        <w:t xml:space="preserve">09 and is split into six stages. </w:t>
      </w:r>
    </w:p>
    <w:p w14:paraId="2839B45C" w14:textId="0A17DC9A" w:rsidR="003336FC" w:rsidRDefault="003C4F83" w:rsidP="00C64BB6">
      <w:pPr>
        <w:pStyle w:val="ListParagraph"/>
      </w:pPr>
      <w:r>
        <w:t>The</w:t>
      </w:r>
      <w:r w:rsidR="00954266">
        <w:t xml:space="preserve"> revised</w:t>
      </w:r>
      <w:r>
        <w:t xml:space="preserve"> timetable is shown below:</w:t>
      </w:r>
    </w:p>
    <w:p w14:paraId="4B7AE23C" w14:textId="77777777" w:rsidR="00094291" w:rsidRDefault="00094291" w:rsidP="00094291">
      <w:pPr>
        <w:pStyle w:val="ListParagraph"/>
        <w:numPr>
          <w:ilvl w:val="0"/>
          <w:numId w:val="0"/>
        </w:numPr>
        <w:ind w:left="36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2410"/>
        <w:gridCol w:w="5245"/>
      </w:tblGrid>
      <w:tr w:rsidR="00BD7680" w14:paraId="342C1624" w14:textId="77777777" w:rsidTr="008E410F">
        <w:tc>
          <w:tcPr>
            <w:tcW w:w="1951" w:type="dxa"/>
            <w:shd w:val="clear" w:color="auto" w:fill="BFBFBF" w:themeFill="background1" w:themeFillShade="BF"/>
          </w:tcPr>
          <w:p w14:paraId="04C61F98" w14:textId="77777777" w:rsidR="00BD7680" w:rsidRDefault="00BD7680" w:rsidP="008E410F">
            <w:pPr>
              <w:jc w:val="center"/>
            </w:pPr>
            <w:r>
              <w:t>Stage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FB6C9AF" w14:textId="77777777" w:rsidR="00BD7680" w:rsidRDefault="00BD7680" w:rsidP="008E410F">
            <w:pPr>
              <w:jc w:val="center"/>
            </w:pPr>
            <w:r>
              <w:t>Timing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626412A4" w14:textId="77777777" w:rsidR="00BD7680" w:rsidRDefault="00BD7680" w:rsidP="008E410F">
            <w:pPr>
              <w:jc w:val="center"/>
            </w:pPr>
            <w:r>
              <w:t>Function</w:t>
            </w:r>
          </w:p>
        </w:tc>
      </w:tr>
      <w:tr w:rsidR="00BD7680" w14:paraId="313E4758" w14:textId="77777777" w:rsidTr="008E410F">
        <w:tc>
          <w:tcPr>
            <w:tcW w:w="1951" w:type="dxa"/>
          </w:tcPr>
          <w:p w14:paraId="1A5A2086" w14:textId="77777777" w:rsidR="00BD7680" w:rsidRDefault="00BD7680" w:rsidP="008E410F">
            <w:r>
              <w:t>Preliminary</w:t>
            </w:r>
          </w:p>
        </w:tc>
        <w:tc>
          <w:tcPr>
            <w:tcW w:w="2410" w:type="dxa"/>
          </w:tcPr>
          <w:p w14:paraId="0E9E6610" w14:textId="77777777" w:rsidR="00BD7680" w:rsidRDefault="00BD7680" w:rsidP="008E410F">
            <w:r>
              <w:t>June–December 2017</w:t>
            </w:r>
          </w:p>
        </w:tc>
        <w:tc>
          <w:tcPr>
            <w:tcW w:w="5245" w:type="dxa"/>
          </w:tcPr>
          <w:p w14:paraId="6DBE1BD2" w14:textId="77777777" w:rsidR="00BD7680" w:rsidRDefault="00BD7680" w:rsidP="008E410F">
            <w:r>
              <w:t>Now complete.</w:t>
            </w:r>
          </w:p>
        </w:tc>
      </w:tr>
      <w:tr w:rsidR="00BD7680" w14:paraId="57BB001B" w14:textId="77777777" w:rsidTr="008E410F">
        <w:tc>
          <w:tcPr>
            <w:tcW w:w="1951" w:type="dxa"/>
          </w:tcPr>
          <w:p w14:paraId="3D43BEC8" w14:textId="77777777" w:rsidR="00BD7680" w:rsidRDefault="00BD7680" w:rsidP="008E410F">
            <w:r>
              <w:t>Stage One</w:t>
            </w:r>
          </w:p>
        </w:tc>
        <w:tc>
          <w:tcPr>
            <w:tcW w:w="2410" w:type="dxa"/>
          </w:tcPr>
          <w:p w14:paraId="6AFAC0E4" w14:textId="1C71A1AF" w:rsidR="00BD7680" w:rsidRDefault="00BD7680" w:rsidP="009105A5">
            <w:r>
              <w:t>9</w:t>
            </w:r>
            <w:r w:rsidRPr="0056413F">
              <w:rPr>
                <w:vertAlign w:val="superscript"/>
              </w:rPr>
              <w:t>th</w:t>
            </w:r>
            <w:r>
              <w:t xml:space="preserve"> Jan-</w:t>
            </w:r>
            <w:r w:rsidR="009105A5">
              <w:t>2</w:t>
            </w:r>
            <w:r w:rsidR="009105A5" w:rsidRPr="009105A5">
              <w:rPr>
                <w:vertAlign w:val="superscript"/>
              </w:rPr>
              <w:t>nd</w:t>
            </w:r>
            <w:r w:rsidR="009105A5">
              <w:t xml:space="preserve"> April</w:t>
            </w:r>
            <w:r>
              <w:t xml:space="preserve"> 2018</w:t>
            </w:r>
          </w:p>
        </w:tc>
        <w:tc>
          <w:tcPr>
            <w:tcW w:w="5245" w:type="dxa"/>
          </w:tcPr>
          <w:p w14:paraId="30C6DA8C" w14:textId="12FFCA3D" w:rsidR="00BD7680" w:rsidRDefault="00BD7680" w:rsidP="000877F2">
            <w:r>
              <w:t>The Commission publish</w:t>
            </w:r>
            <w:r w:rsidR="005A3A27">
              <w:t>ed</w:t>
            </w:r>
            <w:r w:rsidR="000877F2">
              <w:t xml:space="preserve"> a council size it was</w:t>
            </w:r>
            <w:r>
              <w:t xml:space="preserve"> minded to recommend and invite</w:t>
            </w:r>
            <w:r w:rsidR="000877F2">
              <w:t>d</w:t>
            </w:r>
            <w:r>
              <w:t xml:space="preserve"> ward proposals based on that council size.</w:t>
            </w:r>
            <w:r w:rsidR="000877F2">
              <w:t xml:space="preserve"> </w:t>
            </w:r>
            <w:r w:rsidR="003C4F83">
              <w:t>Now complete.</w:t>
            </w:r>
          </w:p>
        </w:tc>
      </w:tr>
      <w:tr w:rsidR="00BD7680" w14:paraId="304CC35D" w14:textId="77777777" w:rsidTr="008E410F">
        <w:tc>
          <w:tcPr>
            <w:tcW w:w="1951" w:type="dxa"/>
          </w:tcPr>
          <w:p w14:paraId="3BFFDE15" w14:textId="77777777" w:rsidR="00BD7680" w:rsidRDefault="00BD7680" w:rsidP="008E410F">
            <w:r>
              <w:t>Stage Two</w:t>
            </w:r>
          </w:p>
        </w:tc>
        <w:tc>
          <w:tcPr>
            <w:tcW w:w="2410" w:type="dxa"/>
          </w:tcPr>
          <w:p w14:paraId="61F79009" w14:textId="2D322945" w:rsidR="00BD7680" w:rsidRDefault="009105A5" w:rsidP="009105A5">
            <w:r>
              <w:t>5</w:t>
            </w:r>
            <w:r w:rsidRPr="009105A5">
              <w:rPr>
                <w:vertAlign w:val="superscript"/>
              </w:rPr>
              <w:t>th</w:t>
            </w:r>
            <w:r>
              <w:t xml:space="preserve"> June</w:t>
            </w:r>
            <w:r w:rsidR="00BD7680">
              <w:t>-</w:t>
            </w:r>
            <w:r>
              <w:t>13</w:t>
            </w:r>
            <w:r w:rsidR="00BD7680" w:rsidRPr="00E25553">
              <w:rPr>
                <w:vertAlign w:val="superscript"/>
              </w:rPr>
              <w:t>th</w:t>
            </w:r>
            <w:r w:rsidR="00BD7680">
              <w:t xml:space="preserve"> </w:t>
            </w:r>
            <w:r>
              <w:t>August</w:t>
            </w:r>
            <w:r w:rsidR="00BD7680">
              <w:t xml:space="preserve"> 2018</w:t>
            </w:r>
          </w:p>
        </w:tc>
        <w:tc>
          <w:tcPr>
            <w:tcW w:w="5245" w:type="dxa"/>
          </w:tcPr>
          <w:p w14:paraId="715DA340" w14:textId="14FE66E3" w:rsidR="00BD7680" w:rsidRDefault="000877F2" w:rsidP="00323F55">
            <w:r>
              <w:t>The Commission</w:t>
            </w:r>
            <w:r w:rsidR="00BD7680">
              <w:t xml:space="preserve"> publish</w:t>
            </w:r>
            <w:r>
              <w:t>ed</w:t>
            </w:r>
            <w:r w:rsidR="00BD7680">
              <w:t xml:space="preserve"> a draft ward scheme for consultation.</w:t>
            </w:r>
          </w:p>
        </w:tc>
      </w:tr>
      <w:tr w:rsidR="00BD7680" w14:paraId="0CE95500" w14:textId="77777777" w:rsidTr="008E410F">
        <w:tc>
          <w:tcPr>
            <w:tcW w:w="1951" w:type="dxa"/>
          </w:tcPr>
          <w:p w14:paraId="0BEF9D08" w14:textId="559D8758" w:rsidR="00BD7680" w:rsidRDefault="00CE0EA4" w:rsidP="008E410F">
            <w:r>
              <w:t>Stage Two (extended)</w:t>
            </w:r>
          </w:p>
        </w:tc>
        <w:tc>
          <w:tcPr>
            <w:tcW w:w="2410" w:type="dxa"/>
          </w:tcPr>
          <w:p w14:paraId="0267F202" w14:textId="0E0187D8" w:rsidR="00BD7680" w:rsidRDefault="00CE0EA4" w:rsidP="008E410F">
            <w:r>
              <w:t>6</w:t>
            </w:r>
            <w:r w:rsidRPr="00CE0EA4">
              <w:rPr>
                <w:vertAlign w:val="superscript"/>
              </w:rPr>
              <w:t>th</w:t>
            </w:r>
            <w:r>
              <w:t xml:space="preserve"> November-4</w:t>
            </w:r>
            <w:r w:rsidRPr="00CE0EA4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5245" w:type="dxa"/>
          </w:tcPr>
          <w:p w14:paraId="68BBEFBF" w14:textId="1DC090E6" w:rsidR="00BD7680" w:rsidRDefault="00CE0EA4" w:rsidP="008E410F">
            <w:r>
              <w:t xml:space="preserve">The Commission has published revisions to sevens wards and a </w:t>
            </w:r>
            <w:r w:rsidR="00323F55">
              <w:t xml:space="preserve">further </w:t>
            </w:r>
            <w:r>
              <w:t>short consultation period.</w:t>
            </w:r>
          </w:p>
        </w:tc>
      </w:tr>
      <w:tr w:rsidR="00CE0EA4" w14:paraId="18C05C58" w14:textId="77777777" w:rsidTr="008E410F">
        <w:tc>
          <w:tcPr>
            <w:tcW w:w="1951" w:type="dxa"/>
          </w:tcPr>
          <w:p w14:paraId="6E6E869D" w14:textId="70CAC859" w:rsidR="00CE0EA4" w:rsidRDefault="00CE0EA4" w:rsidP="008E410F">
            <w:r>
              <w:t>Stage Three</w:t>
            </w:r>
          </w:p>
        </w:tc>
        <w:tc>
          <w:tcPr>
            <w:tcW w:w="2410" w:type="dxa"/>
          </w:tcPr>
          <w:p w14:paraId="212F15EB" w14:textId="07CDAEAF" w:rsidR="00CE0EA4" w:rsidRDefault="00954266" w:rsidP="008E410F">
            <w:r>
              <w:t>5</w:t>
            </w:r>
            <w:r w:rsidRPr="00954266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5245" w:type="dxa"/>
          </w:tcPr>
          <w:p w14:paraId="2668ACF8" w14:textId="57A952DC" w:rsidR="00CE0EA4" w:rsidRDefault="00CE0EA4" w:rsidP="008E410F">
            <w:r>
              <w:t>The Commission will publish its final recommendations.</w:t>
            </w:r>
          </w:p>
        </w:tc>
      </w:tr>
      <w:tr w:rsidR="00CE0EA4" w14:paraId="59E64D8B" w14:textId="77777777" w:rsidTr="008E410F">
        <w:tc>
          <w:tcPr>
            <w:tcW w:w="1951" w:type="dxa"/>
          </w:tcPr>
          <w:p w14:paraId="26A362ED" w14:textId="3DA2D802" w:rsidR="00CE0EA4" w:rsidRDefault="00CE0EA4" w:rsidP="008E410F">
            <w:r>
              <w:t>Stage Four</w:t>
            </w:r>
          </w:p>
        </w:tc>
        <w:tc>
          <w:tcPr>
            <w:tcW w:w="2410" w:type="dxa"/>
          </w:tcPr>
          <w:p w14:paraId="6516F876" w14:textId="78B6C11B" w:rsidR="00CE0EA4" w:rsidRDefault="00954266" w:rsidP="00954266">
            <w:r>
              <w:t>February-May 2019</w:t>
            </w:r>
          </w:p>
        </w:tc>
        <w:tc>
          <w:tcPr>
            <w:tcW w:w="5245" w:type="dxa"/>
          </w:tcPr>
          <w:p w14:paraId="3D46A2F4" w14:textId="2800BC70" w:rsidR="00CE0EA4" w:rsidRDefault="00CE0EA4" w:rsidP="008E410F">
            <w:r>
              <w:t>The Commission’s draft order giving effect to its recommendations is laid in both houses of parliament. Parliament can either accept or reject the recommendations. It cannot modify them.</w:t>
            </w:r>
          </w:p>
        </w:tc>
      </w:tr>
      <w:tr w:rsidR="00CE0EA4" w14:paraId="4D1B89BC" w14:textId="77777777" w:rsidTr="008E410F">
        <w:tc>
          <w:tcPr>
            <w:tcW w:w="1951" w:type="dxa"/>
          </w:tcPr>
          <w:p w14:paraId="077FB936" w14:textId="25AC5B1E" w:rsidR="00CE0EA4" w:rsidRDefault="00CE0EA4" w:rsidP="008E410F">
            <w:r>
              <w:t>Stage Five</w:t>
            </w:r>
          </w:p>
        </w:tc>
        <w:tc>
          <w:tcPr>
            <w:tcW w:w="2410" w:type="dxa"/>
          </w:tcPr>
          <w:p w14:paraId="49F10590" w14:textId="60306171" w:rsidR="00CE0EA4" w:rsidRDefault="00CE0EA4" w:rsidP="008E410F">
            <w:r>
              <w:t>May 2020</w:t>
            </w:r>
          </w:p>
        </w:tc>
        <w:tc>
          <w:tcPr>
            <w:tcW w:w="5245" w:type="dxa"/>
          </w:tcPr>
          <w:p w14:paraId="3E6F40F3" w14:textId="3B171A32" w:rsidR="00CE0EA4" w:rsidRDefault="00CE0EA4" w:rsidP="008E410F">
            <w:r>
              <w:t>The new electoral arrangements will come in to force.</w:t>
            </w:r>
          </w:p>
        </w:tc>
      </w:tr>
    </w:tbl>
    <w:p w14:paraId="42ECCEB8" w14:textId="77777777" w:rsidR="00BD7680" w:rsidRDefault="00BD7680" w:rsidP="00BD7680"/>
    <w:p w14:paraId="16BE86E6" w14:textId="7F8390AE" w:rsidR="00CE0EA4" w:rsidRDefault="000877F2" w:rsidP="00A051CC">
      <w:pPr>
        <w:pStyle w:val="ListParagraph"/>
        <w:tabs>
          <w:tab w:val="clear" w:pos="426"/>
          <w:tab w:val="left" w:pos="709"/>
        </w:tabs>
      </w:pPr>
      <w:r>
        <w:lastRenderedPageBreak/>
        <w:t>The review is</w:t>
      </w:r>
      <w:r w:rsidR="00BD7680">
        <w:t xml:space="preserve"> now in</w:t>
      </w:r>
      <w:r w:rsidR="00CE0EA4">
        <w:t xml:space="preserve"> an extended</w:t>
      </w:r>
      <w:r w:rsidR="00BD7680">
        <w:t xml:space="preserve"> </w:t>
      </w:r>
      <w:r w:rsidR="00094291">
        <w:t>S</w:t>
      </w:r>
      <w:r w:rsidR="003C4F83">
        <w:t xml:space="preserve">tage </w:t>
      </w:r>
      <w:r w:rsidR="00CE0EA4">
        <w:t>T</w:t>
      </w:r>
      <w:r w:rsidR="00A051CC">
        <w:t>wo</w:t>
      </w:r>
      <w:r w:rsidR="00BD7680">
        <w:t xml:space="preserve">. </w:t>
      </w:r>
      <w:r w:rsidR="00ED3933">
        <w:t xml:space="preserve">The consultation ends on </w:t>
      </w:r>
      <w:r w:rsidR="00954266">
        <w:t>4</w:t>
      </w:r>
      <w:r w:rsidR="00954266" w:rsidRPr="00954266">
        <w:rPr>
          <w:vertAlign w:val="superscript"/>
        </w:rPr>
        <w:t>th</w:t>
      </w:r>
      <w:r w:rsidR="00954266">
        <w:t xml:space="preserve"> December</w:t>
      </w:r>
      <w:r w:rsidR="00323F55">
        <w:t xml:space="preserve"> 2018</w:t>
      </w:r>
      <w:r w:rsidR="00ED3933">
        <w:t xml:space="preserve">. </w:t>
      </w:r>
    </w:p>
    <w:p w14:paraId="1E0E1FB5" w14:textId="75526E33" w:rsidR="00954266" w:rsidRDefault="003C4F83" w:rsidP="00A051CC">
      <w:pPr>
        <w:pStyle w:val="ListParagraph"/>
        <w:tabs>
          <w:tab w:val="clear" w:pos="426"/>
          <w:tab w:val="left" w:pos="709"/>
        </w:tabs>
      </w:pPr>
      <w:r>
        <w:t xml:space="preserve">The Commission has made various </w:t>
      </w:r>
      <w:r w:rsidR="00954266">
        <w:t>major amendments to its draft</w:t>
      </w:r>
      <w:r>
        <w:t xml:space="preserve"> scheme.</w:t>
      </w:r>
      <w:r w:rsidR="00954266">
        <w:t xml:space="preserve"> Attached as Appendix 2 is the letter from the Commission giving detail</w:t>
      </w:r>
      <w:r w:rsidR="00A051CC">
        <w:t>s</w:t>
      </w:r>
      <w:r w:rsidR="00954266">
        <w:t xml:space="preserve"> of its proposed changes. It has acted after it received more than 150 representations to its draft sc</w:t>
      </w:r>
      <w:r w:rsidR="00A051CC">
        <w:t>heme, none of which were</w:t>
      </w:r>
      <w:r w:rsidR="00954266">
        <w:t xml:space="preserve"> supportive</w:t>
      </w:r>
      <w:r w:rsidR="00323F55">
        <w:t xml:space="preserve"> of it</w:t>
      </w:r>
      <w:r w:rsidR="00954266">
        <w:t>.</w:t>
      </w:r>
    </w:p>
    <w:p w14:paraId="5851070F" w14:textId="1A8BEDBC" w:rsidR="00D62259" w:rsidRDefault="00D62259" w:rsidP="00A051CC">
      <w:pPr>
        <w:pStyle w:val="ListParagraph"/>
        <w:tabs>
          <w:tab w:val="clear" w:pos="426"/>
          <w:tab w:val="left" w:pos="709"/>
        </w:tabs>
      </w:pPr>
      <w:r>
        <w:t>A significant number of submissions related to three</w:t>
      </w:r>
      <w:r w:rsidR="004A4FDC">
        <w:t xml:space="preserve"> issues: the proposals for </w:t>
      </w:r>
      <w:proofErr w:type="spellStart"/>
      <w:r w:rsidR="004A4FDC">
        <w:t>Bart</w:t>
      </w:r>
      <w:r>
        <w:t>lema</w:t>
      </w:r>
      <w:r w:rsidR="004A4FDC">
        <w:t>s</w:t>
      </w:r>
      <w:proofErr w:type="spellEnd"/>
      <w:r w:rsidR="004A4FDC">
        <w:t>, Donnington and St. Clements’</w:t>
      </w:r>
      <w:r>
        <w:t xml:space="preserve"> wards; the proposed boundary in the Florence Park area between Cowley and Temple Cowley wards; and the proposal to rename St. Clement’s ward as Bannister.</w:t>
      </w:r>
    </w:p>
    <w:p w14:paraId="77C2E267" w14:textId="19509C0B" w:rsidR="00D62259" w:rsidRDefault="00D62259" w:rsidP="00A051CC">
      <w:pPr>
        <w:pStyle w:val="ListParagraph"/>
        <w:tabs>
          <w:tab w:val="clear" w:pos="426"/>
          <w:tab w:val="left" w:pos="709"/>
        </w:tabs>
      </w:pPr>
      <w:r>
        <w:t>The Council’s submission to Stage Two agreed that the boundary between Cowley and Temple Cowley wards should be amended and the Commission has accepted this.</w:t>
      </w:r>
    </w:p>
    <w:p w14:paraId="2DA09AF8" w14:textId="77777777" w:rsidR="00147D0E" w:rsidRDefault="00954266" w:rsidP="00A051CC">
      <w:pPr>
        <w:pStyle w:val="ListParagraph"/>
        <w:tabs>
          <w:tab w:val="clear" w:pos="426"/>
          <w:tab w:val="left" w:pos="709"/>
        </w:tabs>
      </w:pPr>
      <w:r>
        <w:t xml:space="preserve">Taking into account the submissions, the Commission </w:t>
      </w:r>
      <w:r w:rsidR="00D62259">
        <w:t>h</w:t>
      </w:r>
      <w:r>
        <w:t>as</w:t>
      </w:r>
      <w:r w:rsidR="00147D0E">
        <w:t>:</w:t>
      </w:r>
    </w:p>
    <w:p w14:paraId="64B11E52" w14:textId="1FF45044" w:rsidR="003C4F83" w:rsidRPr="00147D0E" w:rsidRDefault="00954266" w:rsidP="00A051CC">
      <w:pPr>
        <w:pStyle w:val="ListParagraph"/>
        <w:numPr>
          <w:ilvl w:val="0"/>
          <w:numId w:val="36"/>
        </w:numPr>
        <w:tabs>
          <w:tab w:val="clear" w:pos="426"/>
          <w:tab w:val="left" w:pos="709"/>
        </w:tabs>
        <w:ind w:left="1276"/>
      </w:pPr>
      <w:r>
        <w:t>completely re-drawn the boundaries in the three wards in the St. Clement’s/Cowley</w:t>
      </w:r>
      <w:r w:rsidR="00D62259">
        <w:t xml:space="preserve"> Road</w:t>
      </w:r>
      <w:r>
        <w:t>/Iffley Road triangle, with consequential changes to the wards below them –</w:t>
      </w:r>
      <w:r w:rsidR="00D62259">
        <w:t xml:space="preserve"> Rose Hill</w:t>
      </w:r>
      <w:r>
        <w:t>, Cowley, T</w:t>
      </w:r>
      <w:r w:rsidR="00D62259">
        <w:t>emple Cowley</w:t>
      </w:r>
      <w:r w:rsidR="00D62259" w:rsidRPr="00147D0E">
        <w:t xml:space="preserve"> and Littlemore</w:t>
      </w:r>
      <w:r w:rsidR="00147D0E">
        <w:t>;</w:t>
      </w:r>
    </w:p>
    <w:p w14:paraId="4483AC5F" w14:textId="36D0405D" w:rsidR="00954266" w:rsidRPr="00147D0E" w:rsidRDefault="00147D0E" w:rsidP="00A051CC">
      <w:pPr>
        <w:pStyle w:val="ListParagraph"/>
        <w:numPr>
          <w:ilvl w:val="0"/>
          <w:numId w:val="36"/>
        </w:numPr>
        <w:tabs>
          <w:tab w:val="clear" w:pos="426"/>
          <w:tab w:val="left" w:pos="709"/>
        </w:tabs>
        <w:ind w:left="1276"/>
        <w:rPr>
          <w:b/>
        </w:rPr>
      </w:pPr>
      <w:proofErr w:type="gramStart"/>
      <w:r>
        <w:t>moved</w:t>
      </w:r>
      <w:proofErr w:type="gramEnd"/>
      <w:r>
        <w:t xml:space="preserve"> Iffley village from the Rose Hill ward to a new Donnington ward;. </w:t>
      </w:r>
    </w:p>
    <w:p w14:paraId="5B905B2C" w14:textId="7EBDDCA4" w:rsidR="00147D0E" w:rsidRPr="00147D0E" w:rsidRDefault="00147D0E" w:rsidP="00A051CC">
      <w:pPr>
        <w:pStyle w:val="ListParagraph"/>
        <w:numPr>
          <w:ilvl w:val="0"/>
          <w:numId w:val="36"/>
        </w:numPr>
        <w:tabs>
          <w:tab w:val="clear" w:pos="426"/>
          <w:tab w:val="left" w:pos="709"/>
        </w:tabs>
        <w:ind w:left="1276"/>
        <w:rPr>
          <w:b/>
        </w:rPr>
      </w:pPr>
      <w:r>
        <w:t>amended the boundary between the Cowley and Temple Cowley wards to take into account comments about the splitting up o</w:t>
      </w:r>
      <w:r w:rsidR="00323F55">
        <w:t>f</w:t>
      </w:r>
      <w:r>
        <w:t xml:space="preserve"> streets that consider themselves as park of Florence Park area;</w:t>
      </w:r>
    </w:p>
    <w:p w14:paraId="30B6EE42" w14:textId="34532336" w:rsidR="00147D0E" w:rsidRPr="00474F0C" w:rsidRDefault="000E373D" w:rsidP="00A051CC">
      <w:pPr>
        <w:pStyle w:val="ListParagraph"/>
        <w:numPr>
          <w:ilvl w:val="0"/>
          <w:numId w:val="36"/>
        </w:numPr>
        <w:tabs>
          <w:tab w:val="clear" w:pos="426"/>
          <w:tab w:val="left" w:pos="709"/>
        </w:tabs>
        <w:ind w:left="1276"/>
        <w:rPr>
          <w:b/>
        </w:rPr>
      </w:pPr>
      <w:proofErr w:type="gramStart"/>
      <w:r>
        <w:t>amended</w:t>
      </w:r>
      <w:proofErr w:type="gramEnd"/>
      <w:r>
        <w:t xml:space="preserve"> the boundary between Littlemore and Rose Hill wards.</w:t>
      </w:r>
    </w:p>
    <w:p w14:paraId="46154AA2" w14:textId="77777777" w:rsidR="00474F0C" w:rsidRPr="00147D0E" w:rsidRDefault="00474F0C" w:rsidP="00A051CC">
      <w:pPr>
        <w:pStyle w:val="ListParagraph"/>
        <w:numPr>
          <w:ilvl w:val="0"/>
          <w:numId w:val="0"/>
        </w:numPr>
        <w:tabs>
          <w:tab w:val="clear" w:pos="426"/>
          <w:tab w:val="left" w:pos="709"/>
        </w:tabs>
        <w:ind w:left="1276"/>
        <w:rPr>
          <w:b/>
        </w:rPr>
      </w:pPr>
    </w:p>
    <w:p w14:paraId="79453F33" w14:textId="77777777" w:rsidR="00E25553" w:rsidRPr="00E33557" w:rsidRDefault="00E25553" w:rsidP="00A051CC">
      <w:pPr>
        <w:tabs>
          <w:tab w:val="left" w:pos="709"/>
        </w:tabs>
        <w:rPr>
          <w:b/>
        </w:rPr>
      </w:pPr>
      <w:r w:rsidRPr="00E33557">
        <w:rPr>
          <w:b/>
        </w:rPr>
        <w:t>Cross-party working group</w:t>
      </w:r>
    </w:p>
    <w:p w14:paraId="06C0D288" w14:textId="66EB499E" w:rsidR="003E57A4" w:rsidRDefault="00AF0467" w:rsidP="00A051CC">
      <w:pPr>
        <w:pStyle w:val="bParagraphtext"/>
        <w:tabs>
          <w:tab w:val="clear" w:pos="426"/>
          <w:tab w:val="left" w:pos="709"/>
        </w:tabs>
      </w:pPr>
      <w:r>
        <w:t>As the Board knows a</w:t>
      </w:r>
      <w:r w:rsidR="00E25553">
        <w:t xml:space="preserve"> cross</w:t>
      </w:r>
      <w:r w:rsidR="00E33557">
        <w:t xml:space="preserve">-party member working group has been set up in order to make recommendations. </w:t>
      </w:r>
      <w:r w:rsidR="009134D3">
        <w:t xml:space="preserve">The Working Group is made up of members of all groups on the Council (Councillors Hollingsworth, Tanner, Simmons and </w:t>
      </w:r>
      <w:r w:rsidR="00D62259">
        <w:t>Gotch</w:t>
      </w:r>
      <w:r w:rsidR="009134D3">
        <w:t xml:space="preserve">). </w:t>
      </w:r>
      <w:r w:rsidR="00E33557">
        <w:t xml:space="preserve">The Working Group met </w:t>
      </w:r>
      <w:r w:rsidR="000877F2">
        <w:t xml:space="preserve">on </w:t>
      </w:r>
      <w:r w:rsidR="00D62259">
        <w:t>12</w:t>
      </w:r>
      <w:r w:rsidR="00D62259" w:rsidRPr="00D62259">
        <w:rPr>
          <w:vertAlign w:val="superscript"/>
        </w:rPr>
        <w:t>th</w:t>
      </w:r>
      <w:r w:rsidR="00D62259">
        <w:t xml:space="preserve"> November</w:t>
      </w:r>
      <w:r w:rsidR="000877F2">
        <w:t xml:space="preserve"> 2018</w:t>
      </w:r>
      <w:r w:rsidR="00E33557">
        <w:t xml:space="preserve"> and has </w:t>
      </w:r>
      <w:r w:rsidR="003C4F83">
        <w:t>made various suggested amendments to the Commission’s draft scheme.</w:t>
      </w:r>
    </w:p>
    <w:p w14:paraId="6957071A" w14:textId="54C67909" w:rsidR="00147D0E" w:rsidRPr="00147D0E" w:rsidRDefault="00147D0E" w:rsidP="00A051CC">
      <w:pPr>
        <w:pStyle w:val="ListParagraph"/>
        <w:tabs>
          <w:tab w:val="clear" w:pos="426"/>
          <w:tab w:val="left" w:pos="709"/>
        </w:tabs>
      </w:pPr>
      <w:r w:rsidRPr="00147D0E">
        <w:t xml:space="preserve">The Working Group felt </w:t>
      </w:r>
      <w:r w:rsidR="000E373D">
        <w:t xml:space="preserve">the whole redesign of the three wards (St. Clement’s, St. Mary’s and Donnington &amp; </w:t>
      </w:r>
      <w:proofErr w:type="spellStart"/>
      <w:r w:rsidR="000E373D">
        <w:t>Iffley</w:t>
      </w:r>
      <w:proofErr w:type="spellEnd"/>
      <w:r w:rsidR="000E373D">
        <w:t xml:space="preserve">) was predicated on including </w:t>
      </w:r>
      <w:proofErr w:type="spellStart"/>
      <w:r w:rsidR="000E373D">
        <w:t>Iffley</w:t>
      </w:r>
      <w:proofErr w:type="spellEnd"/>
      <w:r w:rsidR="000E373D">
        <w:t xml:space="preserve"> village in Donnington &amp; </w:t>
      </w:r>
      <w:proofErr w:type="spellStart"/>
      <w:r w:rsidR="000E373D">
        <w:t>Iffley</w:t>
      </w:r>
      <w:proofErr w:type="spellEnd"/>
      <w:r w:rsidR="000E373D">
        <w:t xml:space="preserve">. The Working Group considered </w:t>
      </w:r>
      <w:r w:rsidRPr="00147D0E">
        <w:t>this proposal unacceptable. It felt that there are no links between Iffley and the rest</w:t>
      </w:r>
      <w:r w:rsidR="00323F55">
        <w:t xml:space="preserve"> of</w:t>
      </w:r>
      <w:r w:rsidRPr="00147D0E">
        <w:t xml:space="preserve"> its new ward. </w:t>
      </w:r>
      <w:r w:rsidR="00323F55">
        <w:t>Iffley</w:t>
      </w:r>
      <w:r w:rsidRPr="00147D0E">
        <w:t xml:space="preserve"> has been linked with Rose Hill electorally for many decades and, over that time, many links have been developed between the two areas.</w:t>
      </w:r>
      <w:r w:rsidR="00323F55">
        <w:t xml:space="preserve"> Add from Ed Turner</w:t>
      </w:r>
    </w:p>
    <w:p w14:paraId="317402CC" w14:textId="5D1E390A" w:rsidR="00147D0E" w:rsidRDefault="000E373D" w:rsidP="00A051CC">
      <w:pPr>
        <w:pStyle w:val="bParagraphtext"/>
        <w:tabs>
          <w:tab w:val="clear" w:pos="426"/>
          <w:tab w:val="left" w:pos="709"/>
        </w:tabs>
      </w:pPr>
      <w:r>
        <w:t xml:space="preserve">Therefore </w:t>
      </w:r>
      <w:r w:rsidR="00323F55">
        <w:t>the Working Group</w:t>
      </w:r>
      <w:r>
        <w:t xml:space="preserve"> could not endorse the Commission’s current proposals.</w:t>
      </w:r>
    </w:p>
    <w:p w14:paraId="4A51C249" w14:textId="3CDEB5BC" w:rsidR="000E373D" w:rsidRDefault="000E373D" w:rsidP="00A051CC">
      <w:pPr>
        <w:pStyle w:val="bParagraphtext"/>
        <w:tabs>
          <w:tab w:val="clear" w:pos="426"/>
          <w:tab w:val="left" w:pos="709"/>
        </w:tabs>
      </w:pPr>
      <w:r>
        <w:t>It proposes the following</w:t>
      </w:r>
      <w:r w:rsidR="00D126C0">
        <w:t>, that</w:t>
      </w:r>
      <w:r>
        <w:t>:</w:t>
      </w:r>
    </w:p>
    <w:p w14:paraId="7A020543" w14:textId="77777777" w:rsidR="00FA6F9E" w:rsidRDefault="00FA6F9E" w:rsidP="00FA6F9E">
      <w:pPr>
        <w:pStyle w:val="bParagraphtext"/>
        <w:numPr>
          <w:ilvl w:val="0"/>
          <w:numId w:val="0"/>
        </w:numPr>
        <w:tabs>
          <w:tab w:val="clear" w:pos="426"/>
          <w:tab w:val="left" w:pos="709"/>
        </w:tabs>
        <w:ind w:left="360"/>
      </w:pPr>
    </w:p>
    <w:p w14:paraId="0AF71588" w14:textId="674F38A3" w:rsidR="00474F0C" w:rsidRDefault="00474F0C" w:rsidP="00FA6F9E">
      <w:pPr>
        <w:pStyle w:val="bParagraphtext"/>
        <w:numPr>
          <w:ilvl w:val="0"/>
          <w:numId w:val="39"/>
        </w:numPr>
        <w:tabs>
          <w:tab w:val="clear" w:pos="426"/>
          <w:tab w:val="left" w:pos="709"/>
          <w:tab w:val="left" w:pos="1276"/>
        </w:tabs>
      </w:pPr>
      <w:r>
        <w:t>the Council prefers the scheme as originally proposed and published by the Commission in June</w:t>
      </w:r>
      <w:r w:rsidR="00323F55">
        <w:t xml:space="preserve"> 2018</w:t>
      </w:r>
      <w:r>
        <w:t>;</w:t>
      </w:r>
    </w:p>
    <w:p w14:paraId="4401AE64" w14:textId="77777777" w:rsidR="00474F0C" w:rsidRDefault="00474F0C" w:rsidP="00FA6F9E">
      <w:pPr>
        <w:pStyle w:val="bParagraphtext"/>
        <w:numPr>
          <w:ilvl w:val="0"/>
          <w:numId w:val="39"/>
        </w:numPr>
        <w:tabs>
          <w:tab w:val="clear" w:pos="426"/>
          <w:tab w:val="left" w:pos="709"/>
          <w:tab w:val="left" w:pos="1276"/>
        </w:tabs>
      </w:pPr>
      <w:r>
        <w:t>the Council does not support the current scheme;</w:t>
      </w:r>
    </w:p>
    <w:p w14:paraId="154D67D9" w14:textId="4669166C" w:rsidR="00474F0C" w:rsidRDefault="00474F0C" w:rsidP="00FA6F9E">
      <w:pPr>
        <w:pStyle w:val="bParagraphtext"/>
        <w:numPr>
          <w:ilvl w:val="0"/>
          <w:numId w:val="39"/>
        </w:numPr>
        <w:tabs>
          <w:tab w:val="clear" w:pos="426"/>
          <w:tab w:val="left" w:pos="709"/>
          <w:tab w:val="left" w:pos="1276"/>
        </w:tabs>
      </w:pPr>
      <w:r>
        <w:lastRenderedPageBreak/>
        <w:t>that, if the original scheme is</w:t>
      </w:r>
      <w:r w:rsidR="00323F55">
        <w:t xml:space="preserve"> </w:t>
      </w:r>
      <w:r>
        <w:t>n</w:t>
      </w:r>
      <w:r w:rsidR="00323F55">
        <w:t>o</w:t>
      </w:r>
      <w:r>
        <w:t>t re-adopted, then it proposes that the two new wards of St. Mary’s and St. Clement’s be accepted with some minor amendments, with the boundaries for Cowley, Temple Cowley, Rose Hill &amp; Iffley and Littlemore from the original scheme, with a small adjustment in the boundary between Cowley and Temple Cowley wards to take account of concerns in the Florence Park area</w:t>
      </w:r>
      <w:r w:rsidR="00FA6F9E">
        <w:t xml:space="preserve"> (as detailed in Appendix 3);</w:t>
      </w:r>
    </w:p>
    <w:p w14:paraId="0F8BFDB6" w14:textId="77F8C044" w:rsidR="00474F0C" w:rsidRDefault="00323F55" w:rsidP="00FA6F9E">
      <w:pPr>
        <w:pStyle w:val="bParagraphtext"/>
        <w:numPr>
          <w:ilvl w:val="0"/>
          <w:numId w:val="39"/>
        </w:numPr>
        <w:tabs>
          <w:tab w:val="clear" w:pos="426"/>
          <w:tab w:val="left" w:pos="709"/>
          <w:tab w:val="left" w:pos="1276"/>
        </w:tabs>
      </w:pPr>
      <w:r>
        <w:t xml:space="preserve">This will </w:t>
      </w:r>
      <w:r w:rsidR="00474F0C">
        <w:t xml:space="preserve">leave a re-designed Donnington ward, running along the southern boundaries of the new St. Mary’s and St. Clement’s wards, from Weirs Lane in the west to </w:t>
      </w:r>
      <w:proofErr w:type="spellStart"/>
      <w:r w:rsidR="00474F0C">
        <w:t>Bartlemas</w:t>
      </w:r>
      <w:proofErr w:type="spellEnd"/>
      <w:r w:rsidR="00474F0C">
        <w:t xml:space="preserve"> Close in the east</w:t>
      </w:r>
      <w:r w:rsidR="00FA6F9E">
        <w:t xml:space="preserve"> (as detailed in Appendix 3);</w:t>
      </w:r>
      <w:r w:rsidR="00474F0C">
        <w:t>.</w:t>
      </w:r>
    </w:p>
    <w:p w14:paraId="0C18142F" w14:textId="3F241B6C" w:rsidR="00FA6F9E" w:rsidRDefault="00FA6F9E" w:rsidP="00FA6F9E">
      <w:pPr>
        <w:pStyle w:val="bParagraphtext"/>
        <w:numPr>
          <w:ilvl w:val="0"/>
          <w:numId w:val="0"/>
        </w:numPr>
        <w:tabs>
          <w:tab w:val="clear" w:pos="426"/>
          <w:tab w:val="left" w:pos="709"/>
          <w:tab w:val="left" w:pos="1276"/>
        </w:tabs>
        <w:ind w:left="360" w:hanging="360"/>
      </w:pPr>
      <w:r>
        <w:t>If agreed the ward figures are as follows:</w:t>
      </w:r>
    </w:p>
    <w:p w14:paraId="12CB12E3" w14:textId="77777777" w:rsidR="00FA6F9E" w:rsidRDefault="00FA6F9E" w:rsidP="00FA6F9E">
      <w:pPr>
        <w:pStyle w:val="bParagraphtext"/>
        <w:numPr>
          <w:ilvl w:val="0"/>
          <w:numId w:val="0"/>
        </w:numPr>
        <w:tabs>
          <w:tab w:val="clear" w:pos="426"/>
          <w:tab w:val="left" w:pos="709"/>
          <w:tab w:val="left" w:pos="1276"/>
        </w:tabs>
        <w:ind w:left="360" w:hanging="360"/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438"/>
        <w:gridCol w:w="1822"/>
        <w:gridCol w:w="2126"/>
        <w:gridCol w:w="1418"/>
      </w:tblGrid>
      <w:tr w:rsidR="00FA6F9E" w:rsidRPr="00FA6F9E" w14:paraId="4BACF453" w14:textId="77777777" w:rsidTr="00FA6F9E">
        <w:trPr>
          <w:trHeight w:val="255"/>
        </w:trPr>
        <w:tc>
          <w:tcPr>
            <w:tcW w:w="2142" w:type="dxa"/>
            <w:shd w:val="pct15" w:color="auto" w:fill="auto"/>
            <w:noWrap/>
            <w:vAlign w:val="bottom"/>
          </w:tcPr>
          <w:p w14:paraId="610B30B8" w14:textId="4525E36D" w:rsidR="00FA6F9E" w:rsidRPr="00FA6F9E" w:rsidRDefault="00FA6F9E" w:rsidP="00FA6F9E">
            <w:pPr>
              <w:spacing w:after="0"/>
              <w:rPr>
                <w:rFonts w:cs="Arial"/>
              </w:rPr>
            </w:pPr>
            <w:r w:rsidRPr="00FA6F9E">
              <w:rPr>
                <w:rFonts w:cs="Arial"/>
              </w:rPr>
              <w:t>New ward</w:t>
            </w:r>
          </w:p>
        </w:tc>
        <w:tc>
          <w:tcPr>
            <w:tcW w:w="1438" w:type="dxa"/>
            <w:shd w:val="pct15" w:color="auto" w:fill="auto"/>
            <w:noWrap/>
            <w:vAlign w:val="bottom"/>
          </w:tcPr>
          <w:p w14:paraId="0558DF29" w14:textId="5992AD2E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No. of electors</w:t>
            </w:r>
          </w:p>
        </w:tc>
        <w:tc>
          <w:tcPr>
            <w:tcW w:w="1822" w:type="dxa"/>
            <w:shd w:val="pct15" w:color="auto" w:fill="auto"/>
            <w:vAlign w:val="bottom"/>
          </w:tcPr>
          <w:p w14:paraId="626599B5" w14:textId="6B0A9CB8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Ave. no of electors</w:t>
            </w:r>
          </w:p>
        </w:tc>
        <w:tc>
          <w:tcPr>
            <w:tcW w:w="2126" w:type="dxa"/>
            <w:shd w:val="pct15" w:color="auto" w:fill="auto"/>
            <w:vAlign w:val="bottom"/>
          </w:tcPr>
          <w:p w14:paraId="6EC6A5D1" w14:textId="1C93D738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Variation (must be within+/- 10%)</w:t>
            </w:r>
          </w:p>
        </w:tc>
        <w:tc>
          <w:tcPr>
            <w:tcW w:w="1418" w:type="dxa"/>
            <w:shd w:val="pct15" w:color="auto" w:fill="auto"/>
            <w:vAlign w:val="bottom"/>
          </w:tcPr>
          <w:p w14:paraId="55D446CC" w14:textId="265054C4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Variance (number)</w:t>
            </w:r>
          </w:p>
        </w:tc>
      </w:tr>
      <w:tr w:rsidR="00FA6F9E" w:rsidRPr="00FA6F9E" w14:paraId="4411FC1D" w14:textId="77777777" w:rsidTr="00FA6F9E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A8F98FD" w14:textId="77777777" w:rsidR="00FA6F9E" w:rsidRPr="00FA6F9E" w:rsidRDefault="00FA6F9E" w:rsidP="00FA6F9E">
            <w:pPr>
              <w:spacing w:after="0"/>
              <w:rPr>
                <w:rFonts w:cs="Arial"/>
              </w:rPr>
            </w:pPr>
            <w:r w:rsidRPr="00FA6F9E">
              <w:rPr>
                <w:rFonts w:cs="Arial"/>
              </w:rPr>
              <w:t>Cowley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1ED0A5C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5200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16DD3DE4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4834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09C2367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107.57%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06FC83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366</w:t>
            </w:r>
          </w:p>
        </w:tc>
      </w:tr>
      <w:tr w:rsidR="00FA6F9E" w:rsidRPr="00FA6F9E" w14:paraId="72396C96" w14:textId="77777777" w:rsidTr="00FA6F9E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101CC2A" w14:textId="77777777" w:rsidR="00FA6F9E" w:rsidRPr="00FA6F9E" w:rsidRDefault="00FA6F9E" w:rsidP="00FA6F9E">
            <w:pPr>
              <w:spacing w:after="0"/>
              <w:rPr>
                <w:rFonts w:cs="Arial"/>
              </w:rPr>
            </w:pPr>
            <w:r w:rsidRPr="00FA6F9E">
              <w:rPr>
                <w:rFonts w:cs="Arial"/>
              </w:rPr>
              <w:t>Donnington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D0222C0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4783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67ABF32E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4834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A9D13F0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98.95%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12AB11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-51</w:t>
            </w:r>
          </w:p>
        </w:tc>
      </w:tr>
      <w:tr w:rsidR="00FA6F9E" w:rsidRPr="00FA6F9E" w14:paraId="008A29DA" w14:textId="77777777" w:rsidTr="00FA6F9E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007A64A" w14:textId="77777777" w:rsidR="00FA6F9E" w:rsidRPr="00FA6F9E" w:rsidRDefault="00FA6F9E" w:rsidP="00FA6F9E">
            <w:pPr>
              <w:spacing w:after="0"/>
              <w:rPr>
                <w:rFonts w:cs="Arial"/>
              </w:rPr>
            </w:pPr>
            <w:r w:rsidRPr="00FA6F9E">
              <w:rPr>
                <w:rFonts w:cs="Arial"/>
              </w:rPr>
              <w:t>Littlemore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608318A8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4967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14C9D636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4834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E2B9349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102.75%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BE1DCE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133</w:t>
            </w:r>
          </w:p>
        </w:tc>
      </w:tr>
      <w:tr w:rsidR="00FA6F9E" w:rsidRPr="00FA6F9E" w14:paraId="1E5DBC58" w14:textId="77777777" w:rsidTr="00FA6F9E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F7444A5" w14:textId="77777777" w:rsidR="00FA6F9E" w:rsidRPr="00FA6F9E" w:rsidRDefault="00FA6F9E" w:rsidP="00FA6F9E">
            <w:pPr>
              <w:spacing w:after="0"/>
              <w:rPr>
                <w:rFonts w:cs="Arial"/>
              </w:rPr>
            </w:pPr>
            <w:r w:rsidRPr="00FA6F9E">
              <w:rPr>
                <w:rFonts w:cs="Arial"/>
              </w:rPr>
              <w:t>Rose Hill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A7A4D7A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4879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6F39FB30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4834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E664B83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100.93%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6BA9CB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45</w:t>
            </w:r>
          </w:p>
        </w:tc>
      </w:tr>
      <w:tr w:rsidR="00FA6F9E" w:rsidRPr="00FA6F9E" w14:paraId="034EC4BE" w14:textId="77777777" w:rsidTr="00FA6F9E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D0F4F84" w14:textId="77777777" w:rsidR="00FA6F9E" w:rsidRPr="00FA6F9E" w:rsidRDefault="00FA6F9E" w:rsidP="00FA6F9E">
            <w:pPr>
              <w:spacing w:after="0"/>
              <w:rPr>
                <w:rFonts w:cs="Arial"/>
              </w:rPr>
            </w:pPr>
            <w:r w:rsidRPr="00FA6F9E">
              <w:rPr>
                <w:rFonts w:cs="Arial"/>
              </w:rPr>
              <w:t>St Clements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1F6A42BD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4456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1F8FAB3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4834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7B67593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92.18%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C96C5C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-378</w:t>
            </w:r>
          </w:p>
        </w:tc>
      </w:tr>
      <w:tr w:rsidR="00FA6F9E" w:rsidRPr="00FA6F9E" w14:paraId="6C7D2D68" w14:textId="77777777" w:rsidTr="00FA6F9E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FDE4CCA" w14:textId="77777777" w:rsidR="00FA6F9E" w:rsidRPr="00FA6F9E" w:rsidRDefault="00FA6F9E" w:rsidP="00FA6F9E">
            <w:pPr>
              <w:spacing w:after="0"/>
              <w:rPr>
                <w:rFonts w:cs="Arial"/>
              </w:rPr>
            </w:pPr>
            <w:r w:rsidRPr="00FA6F9E">
              <w:rPr>
                <w:rFonts w:cs="Arial"/>
              </w:rPr>
              <w:t>St. Mary`s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E34E231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5028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CE85196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4834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78EBD5C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104.02%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035267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194</w:t>
            </w:r>
          </w:p>
        </w:tc>
      </w:tr>
      <w:tr w:rsidR="00FA6F9E" w:rsidRPr="00FA6F9E" w14:paraId="129F9888" w14:textId="77777777" w:rsidTr="00FA6F9E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943CF84" w14:textId="77777777" w:rsidR="00FA6F9E" w:rsidRPr="00FA6F9E" w:rsidRDefault="00FA6F9E" w:rsidP="00FA6F9E">
            <w:pPr>
              <w:spacing w:after="0"/>
              <w:rPr>
                <w:rFonts w:cs="Arial"/>
              </w:rPr>
            </w:pPr>
            <w:r w:rsidRPr="00FA6F9E">
              <w:rPr>
                <w:rFonts w:cs="Arial"/>
              </w:rPr>
              <w:t>Temple Cowley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97CC19C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4453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6DCC7A8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4834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EE456F7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92.12%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E920E4" w14:textId="77777777" w:rsidR="00FA6F9E" w:rsidRPr="00FA6F9E" w:rsidRDefault="00FA6F9E" w:rsidP="00FA6F9E">
            <w:pPr>
              <w:spacing w:after="0"/>
              <w:jc w:val="right"/>
              <w:rPr>
                <w:rFonts w:cs="Arial"/>
              </w:rPr>
            </w:pPr>
            <w:r w:rsidRPr="00FA6F9E">
              <w:rPr>
                <w:rFonts w:cs="Arial"/>
              </w:rPr>
              <w:t>-381</w:t>
            </w:r>
          </w:p>
        </w:tc>
      </w:tr>
    </w:tbl>
    <w:p w14:paraId="0844D2C0" w14:textId="77777777" w:rsidR="00FA6F9E" w:rsidRDefault="00FA6F9E" w:rsidP="00FA6F9E">
      <w:pPr>
        <w:pStyle w:val="bParagraphtext"/>
        <w:numPr>
          <w:ilvl w:val="0"/>
          <w:numId w:val="0"/>
        </w:numPr>
        <w:tabs>
          <w:tab w:val="clear" w:pos="426"/>
          <w:tab w:val="left" w:pos="709"/>
          <w:tab w:val="left" w:pos="1276"/>
        </w:tabs>
        <w:ind w:left="360" w:hanging="360"/>
      </w:pPr>
    </w:p>
    <w:p w14:paraId="39DD13C6" w14:textId="0F38C7DD" w:rsidR="00474F0C" w:rsidRDefault="00FA6F9E" w:rsidP="00FA6F9E">
      <w:pPr>
        <w:pStyle w:val="bParagraphtext"/>
        <w:numPr>
          <w:ilvl w:val="0"/>
          <w:numId w:val="0"/>
        </w:numPr>
        <w:tabs>
          <w:tab w:val="clear" w:pos="426"/>
          <w:tab w:val="left" w:pos="709"/>
          <w:tab w:val="left" w:pos="1276"/>
        </w:tabs>
        <w:ind w:left="360" w:hanging="360"/>
      </w:pPr>
      <w:r>
        <w:t xml:space="preserve">Further details on the allocations of streets to each </w:t>
      </w:r>
      <w:proofErr w:type="gramStart"/>
      <w:r>
        <w:t>wards</w:t>
      </w:r>
      <w:proofErr w:type="gramEnd"/>
      <w:r>
        <w:t xml:space="preserve"> are shown in Appendix 3.</w:t>
      </w:r>
    </w:p>
    <w:p w14:paraId="77BEED10" w14:textId="41991A7D" w:rsidR="003E57A4" w:rsidRDefault="00A051CC" w:rsidP="00A051CC">
      <w:pPr>
        <w:pStyle w:val="bParagraphtext"/>
        <w:numPr>
          <w:ilvl w:val="0"/>
          <w:numId w:val="0"/>
        </w:numPr>
        <w:tabs>
          <w:tab w:val="clear" w:pos="426"/>
          <w:tab w:val="left" w:pos="709"/>
        </w:tabs>
        <w:ind w:left="360" w:hanging="360"/>
      </w:pPr>
      <w:r>
        <w:t>Maps showing the schemes will be circulated nearer the time and at the meeting.</w:t>
      </w:r>
    </w:p>
    <w:p w14:paraId="2BA3FCA4" w14:textId="77777777" w:rsidR="0040736F" w:rsidRPr="001356F1" w:rsidRDefault="002329CF" w:rsidP="00A051CC">
      <w:pPr>
        <w:pStyle w:val="Heading1"/>
        <w:tabs>
          <w:tab w:val="left" w:pos="709"/>
        </w:tabs>
      </w:pPr>
      <w:r w:rsidRPr="001356F1">
        <w:t>Financial implications</w:t>
      </w:r>
    </w:p>
    <w:p w14:paraId="4D1FF393" w14:textId="77777777" w:rsidR="00E87F7A" w:rsidRPr="001356F1" w:rsidRDefault="00487872" w:rsidP="00A051CC">
      <w:pPr>
        <w:pStyle w:val="ListParagraph"/>
        <w:tabs>
          <w:tab w:val="clear" w:pos="426"/>
          <w:tab w:val="left" w:pos="709"/>
        </w:tabs>
      </w:pPr>
      <w:r>
        <w:t>There are no financial implications.</w:t>
      </w:r>
    </w:p>
    <w:p w14:paraId="5DD019A1" w14:textId="77777777" w:rsidR="0040736F" w:rsidRPr="001356F1" w:rsidRDefault="00DA614B" w:rsidP="00A051CC">
      <w:pPr>
        <w:pStyle w:val="Heading1"/>
        <w:tabs>
          <w:tab w:val="left" w:pos="709"/>
        </w:tabs>
      </w:pPr>
      <w:r w:rsidRPr="001356F1">
        <w:t>Legal issues</w:t>
      </w:r>
    </w:p>
    <w:p w14:paraId="13741D6B" w14:textId="58E2D90F" w:rsidR="00E87F7A" w:rsidRDefault="00487872" w:rsidP="00A051CC">
      <w:pPr>
        <w:pStyle w:val="ListParagraph"/>
        <w:tabs>
          <w:tab w:val="clear" w:pos="426"/>
          <w:tab w:val="left" w:pos="709"/>
        </w:tabs>
      </w:pPr>
      <w:r>
        <w:t xml:space="preserve">There are no </w:t>
      </w:r>
      <w:r w:rsidR="000877F2">
        <w:t xml:space="preserve">specific </w:t>
      </w:r>
      <w:r>
        <w:t>legal implications</w:t>
      </w:r>
      <w:r w:rsidR="000877F2">
        <w:t xml:space="preserve"> insofar as the</w:t>
      </w:r>
      <w:r w:rsidR="009134D3">
        <w:t xml:space="preserve"> Council is concerned as it is a </w:t>
      </w:r>
      <w:r w:rsidR="000877F2">
        <w:t>consultee</w:t>
      </w:r>
      <w:r>
        <w:t>.</w:t>
      </w:r>
      <w:r w:rsidR="00B75541">
        <w:t xml:space="preserve"> </w:t>
      </w:r>
    </w:p>
    <w:p w14:paraId="2FE7BD44" w14:textId="6854A395" w:rsidR="009B75AA" w:rsidRPr="009B75AA" w:rsidRDefault="00583C42" w:rsidP="009B75AA">
      <w:pPr>
        <w:pStyle w:val="Heading1"/>
      </w:pPr>
      <w:r w:rsidRPr="001356F1">
        <w:t>Level of risk</w:t>
      </w:r>
    </w:p>
    <w:p w14:paraId="287DE47D" w14:textId="3D491DFB" w:rsidR="002329CF" w:rsidRPr="001356F1" w:rsidRDefault="00583C42" w:rsidP="007C5E03">
      <w:pPr>
        <w:pStyle w:val="ListParagraph"/>
        <w:numPr>
          <w:ilvl w:val="0"/>
          <w:numId w:val="0"/>
        </w:numPr>
        <w:ind w:left="426"/>
      </w:pPr>
      <w:r>
        <w:t xml:space="preserve">A </w:t>
      </w:r>
      <w:r w:rsidRPr="001356F1">
        <w:t>completed Risk Register</w:t>
      </w:r>
      <w:r>
        <w:t xml:space="preserve"> is attached at A</w:t>
      </w:r>
      <w:r w:rsidRPr="001356F1">
        <w:t>ppendix</w:t>
      </w:r>
      <w:r>
        <w:t xml:space="preserve"> </w:t>
      </w:r>
      <w:r w:rsidR="0007630A">
        <w:t>1</w:t>
      </w:r>
      <w:r w:rsidR="00C2441C">
        <w:t>.</w:t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47E9DA12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B358D8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40A3E" w14:textId="77777777" w:rsidR="00E87F7A" w:rsidRPr="001356F1" w:rsidRDefault="001B0EDD" w:rsidP="00A46E98">
            <w:r>
              <w:t>Martin John</w:t>
            </w:r>
          </w:p>
        </w:tc>
      </w:tr>
      <w:tr w:rsidR="00DF093E" w:rsidRPr="001356F1" w14:paraId="751FDC0E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15FB8FB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0486A3A" w14:textId="77777777" w:rsidR="00E87F7A" w:rsidRPr="001356F1" w:rsidRDefault="001B0EDD" w:rsidP="00A46E98">
            <w:r>
              <w:t>Electoral Services Manager</w:t>
            </w:r>
          </w:p>
        </w:tc>
      </w:tr>
      <w:tr w:rsidR="00DF093E" w:rsidRPr="001356F1" w14:paraId="55BA271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249ECA3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908127D" w14:textId="77777777" w:rsidR="00E87F7A" w:rsidRPr="001356F1" w:rsidRDefault="001B0EDD" w:rsidP="00A46E98">
            <w:r>
              <w:t>Law and Governance</w:t>
            </w:r>
          </w:p>
        </w:tc>
      </w:tr>
      <w:tr w:rsidR="00DF093E" w:rsidRPr="001356F1" w14:paraId="0746BD25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17B7E57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AAC4A4" w14:textId="77777777" w:rsidR="00E87F7A" w:rsidRPr="001356F1" w:rsidRDefault="00E87F7A" w:rsidP="001B0EDD">
            <w:r w:rsidRPr="001356F1">
              <w:t xml:space="preserve">01865 </w:t>
            </w:r>
            <w:r w:rsidR="001B0EDD">
              <w:t>252518</w:t>
            </w:r>
            <w:r w:rsidRPr="001356F1">
              <w:t xml:space="preserve"> </w:t>
            </w:r>
          </w:p>
        </w:tc>
      </w:tr>
      <w:tr w:rsidR="005570B5" w:rsidRPr="001356F1" w14:paraId="7C26E5B6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D2E7B1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F546F" w14:textId="77777777" w:rsidR="00E87F7A" w:rsidRPr="001356F1" w:rsidRDefault="001B0EDD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mjohn@oxford.gov.uk</w:t>
            </w:r>
          </w:p>
        </w:tc>
      </w:tr>
    </w:tbl>
    <w:p w14:paraId="7B476A94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497754CA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D0AC85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209EC7A4" w14:textId="77777777" w:rsidR="00FA6F9E" w:rsidRDefault="00FA6F9E" w:rsidP="0093067A"/>
    <w:p w14:paraId="361E3AC7" w14:textId="3810E027" w:rsidR="004456DD" w:rsidRPr="009E51FC" w:rsidRDefault="004456DD" w:rsidP="00132070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4063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8CDA" w14:textId="77777777" w:rsidR="00A051CC" w:rsidRDefault="00A051CC" w:rsidP="004A6D2F">
      <w:r>
        <w:separator/>
      </w:r>
    </w:p>
  </w:endnote>
  <w:endnote w:type="continuationSeparator" w:id="0">
    <w:p w14:paraId="58E30896" w14:textId="77777777" w:rsidR="00A051CC" w:rsidRDefault="00A051C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9D1C" w14:textId="77777777" w:rsidR="00A051CC" w:rsidRDefault="00A051CC" w:rsidP="004A6D2F">
    <w:pPr>
      <w:pStyle w:val="Footer"/>
    </w:pPr>
    <w:r>
      <w:t>Do not use a footer or page numbers.</w:t>
    </w:r>
  </w:p>
  <w:p w14:paraId="49B4295B" w14:textId="77777777" w:rsidR="00A051CC" w:rsidRDefault="00A051CC" w:rsidP="004A6D2F">
    <w:pPr>
      <w:pStyle w:val="Footer"/>
    </w:pPr>
  </w:p>
  <w:p w14:paraId="1FA352B1" w14:textId="77777777" w:rsidR="00A051CC" w:rsidRDefault="00A051CC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FD91" w14:textId="77777777" w:rsidR="00A051CC" w:rsidRDefault="00A051CC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46702" w14:textId="77777777" w:rsidR="00A051CC" w:rsidRDefault="00A051CC" w:rsidP="004A6D2F">
      <w:r>
        <w:separator/>
      </w:r>
    </w:p>
  </w:footnote>
  <w:footnote w:type="continuationSeparator" w:id="0">
    <w:p w14:paraId="78B15870" w14:textId="77777777" w:rsidR="00A051CC" w:rsidRDefault="00A051C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40A7" w14:textId="77777777" w:rsidR="00A051CC" w:rsidRDefault="00A051CC" w:rsidP="00D5547E">
    <w:pPr>
      <w:pStyle w:val="Header"/>
      <w:jc w:val="right"/>
    </w:pPr>
    <w:r>
      <w:rPr>
        <w:noProof/>
      </w:rPr>
      <w:drawing>
        <wp:inline distT="0" distB="0" distL="0" distR="0" wp14:anchorId="211F0FE3" wp14:editId="3FB12D1D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47B0E"/>
    <w:multiLevelType w:val="hybridMultilevel"/>
    <w:tmpl w:val="5A7A7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99B67A4"/>
    <w:multiLevelType w:val="multilevel"/>
    <w:tmpl w:val="BAFC0D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83DED"/>
    <w:multiLevelType w:val="hybridMultilevel"/>
    <w:tmpl w:val="BC72E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D0023"/>
    <w:multiLevelType w:val="hybridMultilevel"/>
    <w:tmpl w:val="A192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0565F"/>
    <w:multiLevelType w:val="hybridMultilevel"/>
    <w:tmpl w:val="7752E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73891"/>
    <w:multiLevelType w:val="hybridMultilevel"/>
    <w:tmpl w:val="984AC77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BA5FD8"/>
    <w:multiLevelType w:val="multilevel"/>
    <w:tmpl w:val="43D6D2FA"/>
    <w:numStyleLink w:val="StyleBulletedSymbolsymbolLeft063cmHanging063cm"/>
  </w:abstractNum>
  <w:abstractNum w:abstractNumId="33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22831"/>
    <w:multiLevelType w:val="multilevel"/>
    <w:tmpl w:val="43D6D2FA"/>
    <w:numStyleLink w:val="StyleBulletedSymbolsymbolLeft063cmHanging063cm"/>
  </w:abstractNum>
  <w:abstractNum w:abstractNumId="35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8365C6"/>
    <w:multiLevelType w:val="multilevel"/>
    <w:tmpl w:val="E67CE66C"/>
    <w:numStyleLink w:val="StyleNumberedLeft0cmHanging075cm"/>
  </w:abstractNum>
  <w:num w:numId="1">
    <w:abstractNumId w:val="31"/>
  </w:num>
  <w:num w:numId="2">
    <w:abstractNumId w:val="36"/>
  </w:num>
  <w:num w:numId="3">
    <w:abstractNumId w:val="26"/>
  </w:num>
  <w:num w:numId="4">
    <w:abstractNumId w:val="20"/>
  </w:num>
  <w:num w:numId="5">
    <w:abstractNumId w:val="33"/>
  </w:num>
  <w:num w:numId="6">
    <w:abstractNumId w:val="37"/>
  </w:num>
  <w:num w:numId="7">
    <w:abstractNumId w:val="25"/>
  </w:num>
  <w:num w:numId="8">
    <w:abstractNumId w:val="22"/>
  </w:num>
  <w:num w:numId="9">
    <w:abstractNumId w:val="13"/>
  </w:num>
  <w:num w:numId="10">
    <w:abstractNumId w:val="16"/>
  </w:num>
  <w:num w:numId="11">
    <w:abstractNumId w:val="29"/>
  </w:num>
  <w:num w:numId="12">
    <w:abstractNumId w:val="27"/>
  </w:num>
  <w:num w:numId="13">
    <w:abstractNumId w:val="10"/>
  </w:num>
  <w:num w:numId="14">
    <w:abstractNumId w:val="38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15">
    <w:abstractNumId w:val="17"/>
  </w:num>
  <w:num w:numId="16">
    <w:abstractNumId w:val="11"/>
  </w:num>
  <w:num w:numId="17">
    <w:abstractNumId w:val="32"/>
  </w:num>
  <w:num w:numId="18">
    <w:abstractNumId w:val="12"/>
  </w:num>
  <w:num w:numId="19">
    <w:abstractNumId w:val="34"/>
  </w:num>
  <w:num w:numId="20">
    <w:abstractNumId w:val="18"/>
  </w:num>
  <w:num w:numId="21">
    <w:abstractNumId w:val="24"/>
  </w:num>
  <w:num w:numId="22">
    <w:abstractNumId w:val="14"/>
  </w:num>
  <w:num w:numId="23">
    <w:abstractNumId w:val="3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0"/>
  </w:num>
  <w:num w:numId="35">
    <w:abstractNumId w:val="23"/>
  </w:num>
  <w:num w:numId="36">
    <w:abstractNumId w:val="19"/>
  </w:num>
  <w:num w:numId="37">
    <w:abstractNumId w:val="28"/>
  </w:num>
  <w:num w:numId="38">
    <w:abstractNumId w:val="15"/>
  </w:num>
  <w:num w:numId="39">
    <w:abstractNumId w:val="21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2"/>
    <w:rsid w:val="000117D4"/>
    <w:rsid w:val="000314D7"/>
    <w:rsid w:val="00045F8B"/>
    <w:rsid w:val="00046D2B"/>
    <w:rsid w:val="00056263"/>
    <w:rsid w:val="00064D8A"/>
    <w:rsid w:val="00064F82"/>
    <w:rsid w:val="00066510"/>
    <w:rsid w:val="0007630A"/>
    <w:rsid w:val="00077523"/>
    <w:rsid w:val="000877F2"/>
    <w:rsid w:val="00094291"/>
    <w:rsid w:val="000A50AF"/>
    <w:rsid w:val="000C089F"/>
    <w:rsid w:val="000C3928"/>
    <w:rsid w:val="000C5E8E"/>
    <w:rsid w:val="000E373D"/>
    <w:rsid w:val="000F4751"/>
    <w:rsid w:val="0010524C"/>
    <w:rsid w:val="00111FB1"/>
    <w:rsid w:val="00113418"/>
    <w:rsid w:val="0011454D"/>
    <w:rsid w:val="00132070"/>
    <w:rsid w:val="001356F1"/>
    <w:rsid w:val="00136994"/>
    <w:rsid w:val="0014128E"/>
    <w:rsid w:val="001427F1"/>
    <w:rsid w:val="00144BD8"/>
    <w:rsid w:val="00147D0E"/>
    <w:rsid w:val="00151888"/>
    <w:rsid w:val="00163A03"/>
    <w:rsid w:val="00170A2D"/>
    <w:rsid w:val="001808BC"/>
    <w:rsid w:val="00182B81"/>
    <w:rsid w:val="00183507"/>
    <w:rsid w:val="0018619D"/>
    <w:rsid w:val="001A011E"/>
    <w:rsid w:val="001A066A"/>
    <w:rsid w:val="001A13E6"/>
    <w:rsid w:val="001A5731"/>
    <w:rsid w:val="001B0EDD"/>
    <w:rsid w:val="001B42C3"/>
    <w:rsid w:val="001C5D5E"/>
    <w:rsid w:val="001D678D"/>
    <w:rsid w:val="001E03F8"/>
    <w:rsid w:val="001E1678"/>
    <w:rsid w:val="001E3376"/>
    <w:rsid w:val="002069B3"/>
    <w:rsid w:val="00216CA1"/>
    <w:rsid w:val="002329CF"/>
    <w:rsid w:val="00232F5B"/>
    <w:rsid w:val="00247C29"/>
    <w:rsid w:val="00260467"/>
    <w:rsid w:val="00263EA3"/>
    <w:rsid w:val="0028497F"/>
    <w:rsid w:val="00284F85"/>
    <w:rsid w:val="00290915"/>
    <w:rsid w:val="002A22E2"/>
    <w:rsid w:val="002C64F7"/>
    <w:rsid w:val="002E33FA"/>
    <w:rsid w:val="002F41F2"/>
    <w:rsid w:val="00301BF3"/>
    <w:rsid w:val="0030208D"/>
    <w:rsid w:val="00323418"/>
    <w:rsid w:val="00323F55"/>
    <w:rsid w:val="00330CA5"/>
    <w:rsid w:val="003336FC"/>
    <w:rsid w:val="003357BF"/>
    <w:rsid w:val="00345823"/>
    <w:rsid w:val="00351664"/>
    <w:rsid w:val="00353148"/>
    <w:rsid w:val="00364FAD"/>
    <w:rsid w:val="0036738F"/>
    <w:rsid w:val="0036759C"/>
    <w:rsid w:val="00367AE5"/>
    <w:rsid w:val="00367D71"/>
    <w:rsid w:val="0038150A"/>
    <w:rsid w:val="003B6645"/>
    <w:rsid w:val="003B6E75"/>
    <w:rsid w:val="003B7DA1"/>
    <w:rsid w:val="003C4F83"/>
    <w:rsid w:val="003D0379"/>
    <w:rsid w:val="003D2574"/>
    <w:rsid w:val="003D4C59"/>
    <w:rsid w:val="003D6999"/>
    <w:rsid w:val="003E57A4"/>
    <w:rsid w:val="003F4267"/>
    <w:rsid w:val="00404032"/>
    <w:rsid w:val="0040736F"/>
    <w:rsid w:val="00412C1F"/>
    <w:rsid w:val="00421CB2"/>
    <w:rsid w:val="004268B9"/>
    <w:rsid w:val="00433B25"/>
    <w:rsid w:val="00433B96"/>
    <w:rsid w:val="004440F1"/>
    <w:rsid w:val="004456DD"/>
    <w:rsid w:val="00446CDF"/>
    <w:rsid w:val="004521B7"/>
    <w:rsid w:val="00462AB5"/>
    <w:rsid w:val="00465EAF"/>
    <w:rsid w:val="004738C5"/>
    <w:rsid w:val="00474F0C"/>
    <w:rsid w:val="004758B2"/>
    <w:rsid w:val="00487872"/>
    <w:rsid w:val="00491046"/>
    <w:rsid w:val="004A2AC7"/>
    <w:rsid w:val="004A4FDC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413F"/>
    <w:rsid w:val="00567E18"/>
    <w:rsid w:val="00575F5F"/>
    <w:rsid w:val="00581805"/>
    <w:rsid w:val="00583C42"/>
    <w:rsid w:val="00585F76"/>
    <w:rsid w:val="005A34E4"/>
    <w:rsid w:val="005A3A27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E73D7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C5E03"/>
    <w:rsid w:val="007E2A26"/>
    <w:rsid w:val="007F2348"/>
    <w:rsid w:val="00803F07"/>
    <w:rsid w:val="0080749A"/>
    <w:rsid w:val="00821FB8"/>
    <w:rsid w:val="00822ACD"/>
    <w:rsid w:val="00855C66"/>
    <w:rsid w:val="00871EE4"/>
    <w:rsid w:val="0087716D"/>
    <w:rsid w:val="008B293F"/>
    <w:rsid w:val="008B7371"/>
    <w:rsid w:val="008D1741"/>
    <w:rsid w:val="008D3DDB"/>
    <w:rsid w:val="008E410F"/>
    <w:rsid w:val="008F573F"/>
    <w:rsid w:val="009031C3"/>
    <w:rsid w:val="009034EC"/>
    <w:rsid w:val="009105A5"/>
    <w:rsid w:val="009134D3"/>
    <w:rsid w:val="0093067A"/>
    <w:rsid w:val="00941C60"/>
    <w:rsid w:val="00954266"/>
    <w:rsid w:val="00966D42"/>
    <w:rsid w:val="00971689"/>
    <w:rsid w:val="00973E90"/>
    <w:rsid w:val="00975B07"/>
    <w:rsid w:val="00980B4A"/>
    <w:rsid w:val="009A2719"/>
    <w:rsid w:val="009B75AA"/>
    <w:rsid w:val="009E3D0A"/>
    <w:rsid w:val="009E51FC"/>
    <w:rsid w:val="009E696A"/>
    <w:rsid w:val="009F1D28"/>
    <w:rsid w:val="009F5EE8"/>
    <w:rsid w:val="009F7618"/>
    <w:rsid w:val="00A04D23"/>
    <w:rsid w:val="00A051CC"/>
    <w:rsid w:val="00A06766"/>
    <w:rsid w:val="00A13765"/>
    <w:rsid w:val="00A21B12"/>
    <w:rsid w:val="00A23F80"/>
    <w:rsid w:val="00A37BCB"/>
    <w:rsid w:val="00A4348C"/>
    <w:rsid w:val="00A46E98"/>
    <w:rsid w:val="00A47430"/>
    <w:rsid w:val="00A613AD"/>
    <w:rsid w:val="00A6352B"/>
    <w:rsid w:val="00A701B5"/>
    <w:rsid w:val="00A714BB"/>
    <w:rsid w:val="00A84422"/>
    <w:rsid w:val="00A922EB"/>
    <w:rsid w:val="00A92D8F"/>
    <w:rsid w:val="00AA6BA9"/>
    <w:rsid w:val="00AB2988"/>
    <w:rsid w:val="00AB7999"/>
    <w:rsid w:val="00AC57A4"/>
    <w:rsid w:val="00AD1AD3"/>
    <w:rsid w:val="00AD3292"/>
    <w:rsid w:val="00AE7AF0"/>
    <w:rsid w:val="00AF0467"/>
    <w:rsid w:val="00B500CA"/>
    <w:rsid w:val="00B744C4"/>
    <w:rsid w:val="00B75541"/>
    <w:rsid w:val="00B860E3"/>
    <w:rsid w:val="00B86314"/>
    <w:rsid w:val="00BA1C2E"/>
    <w:rsid w:val="00BC200B"/>
    <w:rsid w:val="00BC4756"/>
    <w:rsid w:val="00BC69A4"/>
    <w:rsid w:val="00BD7680"/>
    <w:rsid w:val="00BE0680"/>
    <w:rsid w:val="00BE305F"/>
    <w:rsid w:val="00BE7BA3"/>
    <w:rsid w:val="00BF5682"/>
    <w:rsid w:val="00BF7B09"/>
    <w:rsid w:val="00C04DD4"/>
    <w:rsid w:val="00C20A95"/>
    <w:rsid w:val="00C2441C"/>
    <w:rsid w:val="00C2692F"/>
    <w:rsid w:val="00C3207C"/>
    <w:rsid w:val="00C400E1"/>
    <w:rsid w:val="00C41187"/>
    <w:rsid w:val="00C53EB7"/>
    <w:rsid w:val="00C63C31"/>
    <w:rsid w:val="00C64BB6"/>
    <w:rsid w:val="00C70C27"/>
    <w:rsid w:val="00C757A0"/>
    <w:rsid w:val="00C760DE"/>
    <w:rsid w:val="00C82630"/>
    <w:rsid w:val="00C85B4E"/>
    <w:rsid w:val="00C907F7"/>
    <w:rsid w:val="00CA2103"/>
    <w:rsid w:val="00CB6B99"/>
    <w:rsid w:val="00CB73E6"/>
    <w:rsid w:val="00CE0EA4"/>
    <w:rsid w:val="00CE4C87"/>
    <w:rsid w:val="00CE544A"/>
    <w:rsid w:val="00CF6B75"/>
    <w:rsid w:val="00D11E1C"/>
    <w:rsid w:val="00D126C0"/>
    <w:rsid w:val="00D1350D"/>
    <w:rsid w:val="00D160B0"/>
    <w:rsid w:val="00D17F94"/>
    <w:rsid w:val="00D223FC"/>
    <w:rsid w:val="00D26D1E"/>
    <w:rsid w:val="00D474CF"/>
    <w:rsid w:val="00D5547E"/>
    <w:rsid w:val="00D62259"/>
    <w:rsid w:val="00D84BB4"/>
    <w:rsid w:val="00D869A1"/>
    <w:rsid w:val="00D978B9"/>
    <w:rsid w:val="00DA413F"/>
    <w:rsid w:val="00DA4584"/>
    <w:rsid w:val="00DA614B"/>
    <w:rsid w:val="00DC2E66"/>
    <w:rsid w:val="00DC3060"/>
    <w:rsid w:val="00DE0FB2"/>
    <w:rsid w:val="00DE737D"/>
    <w:rsid w:val="00DF093E"/>
    <w:rsid w:val="00E01F42"/>
    <w:rsid w:val="00E075BC"/>
    <w:rsid w:val="00E206D6"/>
    <w:rsid w:val="00E25553"/>
    <w:rsid w:val="00E3074A"/>
    <w:rsid w:val="00E33557"/>
    <w:rsid w:val="00E3366E"/>
    <w:rsid w:val="00E52086"/>
    <w:rsid w:val="00E53B3F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3933"/>
    <w:rsid w:val="00ED52CA"/>
    <w:rsid w:val="00ED5860"/>
    <w:rsid w:val="00EE35C9"/>
    <w:rsid w:val="00EE38C4"/>
    <w:rsid w:val="00EF0222"/>
    <w:rsid w:val="00F05ECA"/>
    <w:rsid w:val="00F3566E"/>
    <w:rsid w:val="00F375FB"/>
    <w:rsid w:val="00F41AC1"/>
    <w:rsid w:val="00F41CBE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A6F9E"/>
    <w:rsid w:val="00FC3BA4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16C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70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70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hn\Downloads\CEB%20report%20-%20blank%20template%20to%20be%20used%20from%20January%20201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BF4A-68B7-4211-9E4C-4435D94A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 (2)</Template>
  <TotalTime>6</TotalTime>
  <Pages>4</Pages>
  <Words>1185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ajbradley</dc:creator>
  <cp:lastModifiedBy>JMitchell</cp:lastModifiedBy>
  <cp:revision>4</cp:revision>
  <cp:lastPrinted>2015-07-03T12:50:00Z</cp:lastPrinted>
  <dcterms:created xsi:type="dcterms:W3CDTF">2018-11-21T15:43:00Z</dcterms:created>
  <dcterms:modified xsi:type="dcterms:W3CDTF">2018-11-21T16:46:00Z</dcterms:modified>
</cp:coreProperties>
</file>